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EA702">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default"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附件1</w:t>
      </w:r>
    </w:p>
    <w:p w14:paraId="41EF11CC">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center"/>
        <w:textAlignment w:val="auto"/>
        <w:rPr>
          <w:rFonts w:hint="default"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G5 京昆线（西安至陕川界段）安全韧性提升工程两阶段勘察设计和设计咨询招标关键内容公示</w:t>
      </w:r>
    </w:p>
    <w:p w14:paraId="777653F8">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rPr>
      </w:pPr>
      <w:r>
        <w:rPr>
          <w:rFonts w:hint="eastAsia" w:ascii="仿宋" w:hAnsi="仿宋" w:eastAsia="仿宋" w:cs="仿宋"/>
          <w:b/>
          <w:kern w:val="0"/>
          <w:sz w:val="32"/>
          <w:szCs w:val="32"/>
          <w:lang w:val="en-US" w:eastAsia="zh-CN"/>
        </w:rPr>
        <w:t>1.</w:t>
      </w:r>
      <w:r>
        <w:rPr>
          <w:rFonts w:hint="eastAsia" w:ascii="仿宋" w:hAnsi="仿宋" w:eastAsia="仿宋" w:cs="仿宋"/>
          <w:b/>
          <w:kern w:val="0"/>
          <w:sz w:val="32"/>
          <w:szCs w:val="32"/>
        </w:rPr>
        <w:t>项目概况与招标范围</w:t>
      </w:r>
    </w:p>
    <w:p w14:paraId="3FF370AA">
      <w:pPr>
        <w:pStyle w:val="12"/>
        <w:keepNext w:val="0"/>
        <w:keepLines w:val="0"/>
        <w:pageBreakBefore w:val="0"/>
        <w:widowControl w:val="0"/>
        <w:shd w:val="clear" w:color="auto"/>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bookmarkStart w:id="0" w:name="bookmark126"/>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1.1项目概况</w:t>
      </w:r>
    </w:p>
    <w:p w14:paraId="40D38E25">
      <w:pPr>
        <w:pStyle w:val="12"/>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540" w:lineRule="exact"/>
        <w:ind w:left="0"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G5 京昆高速西安至陕川界段是国家高速公路网贯通南北的重要大动脉，全长 326.025 公里，项目起于户县涝峪口，止于宁强县棋盘关。全线分三个阶段实施：1.户县至勉县段（西汉）长度 253.177 公里，其中户县至龙亭段于 2007 年 9 月通车，龙亭至汉中东于 2006 年 11 月通车，汉中东至勉县段于 2005 年 9 月通车；2.勉县至宁强段（勉宁）长度 54.858 公里，于 2003 年11 月建成通车；3.宁强至棋盘关段长度 17.99 公里，于 2008 年12 月建成通车。</w:t>
      </w:r>
    </w:p>
    <w:p w14:paraId="24826B97">
      <w:pPr>
        <w:pStyle w:val="12"/>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540" w:lineRule="exact"/>
        <w:ind w:left="0"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本次招标主要内容是依据批复的安全韧性工程工可报告，综合考虑安全韧性提升需求、经济性、适用性等，按照交通运输部《公路安全韧性提升技术指南》、《公路工程基本建设项目设计文件编制办法》(交公路发(2007)358 号)要求，完成安全韧性提升工程初步设计和施工图设计两阶段勘察设计工作和“双院制”勘察设计咨询工作。本项目安全韧性提升工程工可批复总估算费用为 45.84 亿元，批复建安费为 38.06 亿元。</w:t>
      </w:r>
    </w:p>
    <w:p w14:paraId="00A4793F">
      <w:pPr>
        <w:pStyle w:val="12"/>
        <w:keepNext w:val="0"/>
        <w:keepLines w:val="0"/>
        <w:pageBreakBefore w:val="0"/>
        <w:widowControl w:val="0"/>
        <w:shd w:val="clear" w:color="auto"/>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1.2招标范围及标段划分</w:t>
      </w:r>
    </w:p>
    <w:p w14:paraId="7E413011">
      <w:pPr>
        <w:pStyle w:val="12"/>
        <w:keepNext w:val="0"/>
        <w:keepLines w:val="0"/>
        <w:pageBreakBefore w:val="0"/>
        <w:widowControl w:val="0"/>
        <w:shd w:val="clear" w:color="auto"/>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1.2.1本次招标范围为本项目两阶段勘察设计和“双院制”勘察设计咨询，共划分为 2 个标段，设置 1 个勘察设计标段、1 个设计咨询标段，按标段进行招标</w:t>
      </w:r>
      <w:r>
        <w:rPr>
          <w:rFonts w:hint="eastAsia" w:ascii="仿宋" w:hAnsi="仿宋" w:eastAsia="仿宋" w:cs="仿宋"/>
          <w:color w:val="000000" w:themeColor="text1"/>
          <w:kern w:val="0"/>
          <w:sz w:val="28"/>
          <w:szCs w:val="28"/>
          <w:highlight w:val="none"/>
          <w:lang w:eastAsia="zh-CN"/>
          <w14:textFill>
            <w14:solidFill>
              <w14:schemeClr w14:val="tx1"/>
            </w14:solidFill>
          </w14:textFill>
        </w:rPr>
        <w:t>：</w:t>
      </w:r>
    </w:p>
    <w:p w14:paraId="270D410C">
      <w:pPr>
        <w:rPr>
          <w:rFonts w:hint="eastAsia" w:ascii="仿宋" w:hAnsi="仿宋" w:eastAsia="仿宋" w:cs="仿宋"/>
          <w:color w:val="000000" w:themeColor="text1"/>
          <w:kern w:val="0"/>
          <w:sz w:val="28"/>
          <w:szCs w:val="28"/>
          <w:highlight w:val="none"/>
          <w:lang w:eastAsia="zh-CN"/>
          <w14:textFill>
            <w14:solidFill>
              <w14:schemeClr w14:val="tx1"/>
            </w14:solidFill>
          </w14:textFill>
        </w:rPr>
      </w:pPr>
      <w:r>
        <w:rPr>
          <w:rFonts w:hint="eastAsia" w:ascii="仿宋" w:hAnsi="仿宋" w:eastAsia="仿宋" w:cs="仿宋"/>
          <w:color w:val="000000" w:themeColor="text1"/>
          <w:kern w:val="0"/>
          <w:sz w:val="28"/>
          <w:szCs w:val="28"/>
          <w:highlight w:val="none"/>
          <w:lang w:eastAsia="zh-CN"/>
          <w14:textFill>
            <w14:solidFill>
              <w14:schemeClr w14:val="tx1"/>
            </w14:solidFill>
          </w14:textFill>
        </w:rPr>
        <w:br w:type="page"/>
      </w:r>
    </w:p>
    <w:tbl>
      <w:tblPr>
        <w:tblStyle w:val="10"/>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0"/>
        <w:gridCol w:w="5191"/>
        <w:gridCol w:w="1043"/>
      </w:tblGrid>
      <w:tr w14:paraId="3255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80" w:type="dxa"/>
            <w:noWrap w:val="0"/>
            <w:vAlign w:val="center"/>
          </w:tcPr>
          <w:p w14:paraId="2B267880">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jc w:val="center"/>
              <w:textAlignment w:val="baseline"/>
              <w:rPr>
                <w:rFonts w:hint="eastAsia" w:ascii="仿宋" w:hAnsi="仿宋" w:eastAsia="仿宋" w:cs="仿宋"/>
                <w:b/>
                <w:bCs/>
                <w:color w:val="000000"/>
                <w:spacing w:val="5"/>
                <w:sz w:val="21"/>
                <w:szCs w:val="21"/>
                <w:highlight w:val="none"/>
                <w:vertAlign w:val="baseline"/>
                <w:lang w:val="en-US" w:eastAsia="zh-CN"/>
              </w:rPr>
            </w:pPr>
            <w:r>
              <w:rPr>
                <w:rFonts w:hint="eastAsia" w:ascii="仿宋" w:hAnsi="仿宋" w:eastAsia="仿宋" w:cs="仿宋"/>
                <w:b/>
                <w:bCs/>
                <w:color w:val="000000"/>
                <w:spacing w:val="5"/>
                <w:sz w:val="21"/>
                <w:szCs w:val="21"/>
                <w:highlight w:val="none"/>
                <w:vertAlign w:val="baseline"/>
                <w:lang w:val="en-US" w:eastAsia="zh-CN"/>
              </w:rPr>
              <w:t>标段</w:t>
            </w:r>
          </w:p>
        </w:tc>
        <w:tc>
          <w:tcPr>
            <w:tcW w:w="1590" w:type="dxa"/>
            <w:noWrap w:val="0"/>
            <w:vAlign w:val="center"/>
          </w:tcPr>
          <w:p w14:paraId="1DC42F7C">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jc w:val="center"/>
              <w:textAlignment w:val="baseline"/>
              <w:rPr>
                <w:rFonts w:hint="eastAsia" w:ascii="仿宋" w:hAnsi="仿宋" w:eastAsia="仿宋" w:cs="仿宋"/>
                <w:b/>
                <w:bCs/>
                <w:color w:val="000000"/>
                <w:spacing w:val="5"/>
                <w:sz w:val="21"/>
                <w:szCs w:val="21"/>
                <w:highlight w:val="none"/>
                <w:vertAlign w:val="baseline"/>
                <w:lang w:val="en-US" w:eastAsia="zh-CN"/>
              </w:rPr>
            </w:pPr>
            <w:r>
              <w:rPr>
                <w:rFonts w:hint="eastAsia" w:ascii="仿宋" w:hAnsi="仿宋" w:eastAsia="仿宋" w:cs="仿宋"/>
                <w:b/>
                <w:bCs/>
                <w:color w:val="000000"/>
                <w:spacing w:val="5"/>
                <w:sz w:val="21"/>
                <w:szCs w:val="21"/>
                <w:highlight w:val="none"/>
                <w:vertAlign w:val="baseline"/>
                <w:lang w:val="en-US" w:eastAsia="zh-CN"/>
              </w:rPr>
              <w:t>桩号范围</w:t>
            </w:r>
          </w:p>
        </w:tc>
        <w:tc>
          <w:tcPr>
            <w:tcW w:w="5191" w:type="dxa"/>
            <w:noWrap w:val="0"/>
            <w:vAlign w:val="center"/>
          </w:tcPr>
          <w:p w14:paraId="3F3B2AE7">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jc w:val="center"/>
              <w:textAlignment w:val="baseline"/>
              <w:rPr>
                <w:rFonts w:hint="eastAsia" w:ascii="仿宋" w:hAnsi="仿宋" w:eastAsia="仿宋" w:cs="仿宋"/>
                <w:b/>
                <w:bCs/>
                <w:color w:val="000000"/>
                <w:spacing w:val="5"/>
                <w:sz w:val="21"/>
                <w:szCs w:val="21"/>
                <w:highlight w:val="none"/>
                <w:vertAlign w:val="baseline"/>
                <w:lang w:val="en-US" w:eastAsia="zh-CN"/>
              </w:rPr>
            </w:pPr>
            <w:r>
              <w:rPr>
                <w:rFonts w:hint="eastAsia" w:ascii="仿宋" w:hAnsi="仿宋" w:eastAsia="仿宋" w:cs="仿宋"/>
                <w:b/>
                <w:bCs/>
                <w:color w:val="000000"/>
                <w:spacing w:val="5"/>
                <w:sz w:val="21"/>
                <w:szCs w:val="21"/>
                <w:highlight w:val="none"/>
                <w:vertAlign w:val="baseline"/>
                <w:lang w:val="en-US" w:eastAsia="zh-CN"/>
              </w:rPr>
              <w:t>服务内容</w:t>
            </w:r>
          </w:p>
        </w:tc>
        <w:tc>
          <w:tcPr>
            <w:tcW w:w="1043" w:type="dxa"/>
            <w:noWrap w:val="0"/>
            <w:vAlign w:val="center"/>
          </w:tcPr>
          <w:p w14:paraId="1BC2E06E">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jc w:val="center"/>
              <w:textAlignment w:val="baseline"/>
              <w:rPr>
                <w:rFonts w:hint="eastAsia" w:ascii="仿宋" w:hAnsi="仿宋" w:eastAsia="仿宋" w:cs="仿宋"/>
                <w:b/>
                <w:bCs/>
                <w:color w:val="000000"/>
                <w:spacing w:val="5"/>
                <w:sz w:val="21"/>
                <w:szCs w:val="21"/>
                <w:highlight w:val="none"/>
                <w:vertAlign w:val="baseline"/>
                <w:lang w:val="en-US" w:eastAsia="zh-CN"/>
              </w:rPr>
            </w:pPr>
            <w:r>
              <w:rPr>
                <w:rFonts w:hint="eastAsia" w:ascii="仿宋" w:hAnsi="仿宋" w:eastAsia="仿宋" w:cs="仿宋"/>
                <w:b/>
                <w:bCs/>
                <w:color w:val="000000"/>
                <w:spacing w:val="5"/>
                <w:sz w:val="21"/>
                <w:szCs w:val="21"/>
                <w:highlight w:val="none"/>
                <w:vertAlign w:val="baseline"/>
                <w:lang w:val="en-US" w:eastAsia="zh-CN"/>
              </w:rPr>
              <w:t>计划服务期</w:t>
            </w:r>
          </w:p>
        </w:tc>
      </w:tr>
      <w:tr w14:paraId="3CE46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80" w:type="dxa"/>
            <w:noWrap w:val="0"/>
            <w:vAlign w:val="center"/>
          </w:tcPr>
          <w:p w14:paraId="593D2D85">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JK-SJ1</w:t>
            </w:r>
          </w:p>
        </w:tc>
        <w:tc>
          <w:tcPr>
            <w:tcW w:w="1590" w:type="dxa"/>
            <w:vMerge w:val="restart"/>
            <w:noWrap w:val="0"/>
            <w:vAlign w:val="center"/>
          </w:tcPr>
          <w:p w14:paraId="00265201">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left"/>
              <w:textAlignment w:val="baseline"/>
              <w:rPr>
                <w:rFonts w:hint="eastAsia" w:ascii="仿宋" w:hAnsi="仿宋" w:eastAsia="仿宋" w:cs="仿宋"/>
                <w:color w:val="000000"/>
                <w:spacing w:val="5"/>
                <w:sz w:val="21"/>
                <w:szCs w:val="21"/>
                <w:highlight w:val="none"/>
                <w:vertAlign w:val="baseline"/>
                <w:lang w:val="en-US" w:eastAsia="zh-CN"/>
              </w:rPr>
            </w:pPr>
            <w:r>
              <w:rPr>
                <w:rFonts w:hint="eastAsia" w:ascii="仿宋" w:hAnsi="仿宋" w:eastAsia="仿宋" w:cs="仿宋"/>
                <w:color w:val="000000"/>
                <w:spacing w:val="5"/>
                <w:sz w:val="21"/>
                <w:szCs w:val="21"/>
                <w:highlight w:val="none"/>
                <w:vertAlign w:val="baseline"/>
                <w:lang w:val="en-US" w:eastAsia="zh-CN"/>
              </w:rPr>
              <w:t>涝</w:t>
            </w:r>
            <w:r>
              <w:rPr>
                <w:rFonts w:hint="eastAsia" w:ascii="仿宋" w:hAnsi="仿宋" w:eastAsia="仿宋" w:cs="仿宋"/>
                <w:color w:val="000000"/>
                <w:spacing w:val="5"/>
                <w:kern w:val="2"/>
                <w:sz w:val="21"/>
                <w:szCs w:val="21"/>
                <w:highlight w:val="none"/>
                <w:vertAlign w:val="baseline"/>
                <w:lang w:val="en-US" w:eastAsia="zh-CN" w:bidi="zh-CN"/>
              </w:rPr>
              <w:t>峪至筒车湾（ K1133+730～K1217+653）、筒车湾至洋县 （ K1217+653～K1275+497）、洋县至勉县段（ K1275+497 ～K1387+188）、勉县至宁强段（ K1387+188 ～K1442+046）、宁强至 棋盘关（ K1442+046 ～K1459+232</w:t>
            </w:r>
            <w:r>
              <w:rPr>
                <w:rFonts w:hint="eastAsia" w:ascii="仿宋" w:hAnsi="仿宋" w:eastAsia="仿宋" w:cs="仿宋"/>
                <w:color w:val="000000"/>
                <w:spacing w:val="5"/>
                <w:sz w:val="21"/>
                <w:szCs w:val="21"/>
                <w:highlight w:val="none"/>
                <w:vertAlign w:val="baseline"/>
                <w:lang w:val="en-US" w:eastAsia="zh-CN"/>
              </w:rPr>
              <w:t>）</w:t>
            </w:r>
          </w:p>
        </w:tc>
        <w:tc>
          <w:tcPr>
            <w:tcW w:w="5191" w:type="dxa"/>
            <w:noWrap w:val="0"/>
            <w:vAlign w:val="center"/>
          </w:tcPr>
          <w:p w14:paraId="435B1367">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1.负责G5 京昆高速（西安至陕川界段）安全韧性提升工程勘察设计总体设计及编制本项目建设方案。</w:t>
            </w:r>
          </w:p>
          <w:p w14:paraId="20CA60D3">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2.负责G5 京昆高速（西安至陕川界段）的安全韧性提升工程（含路线、路基、路面、桥涵、防护、排水、隧道、路线交叉、交通工程及沿线设施等）初步设计及概算和施工图设计及预算以及必须的勘察、检测、监测(如有)。</w:t>
            </w:r>
          </w:p>
          <w:p w14:paraId="4F22D7A3">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3.招标配合（包括但不限于完成招标用图纸、技术规范、计量规则、工程量清单及工程量清单预算的编制工作等）及后续服务工作。</w:t>
            </w:r>
          </w:p>
          <w:p w14:paraId="09CDF186">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4.与铁路、水利、航道、公路、管道、电力等交叉或并行干扰所涉及到的所有专项设计（含需外委专项设计、产权人要求发包人承担的专项设计），弃土场的稳定性评估（如有）。</w:t>
            </w:r>
          </w:p>
        </w:tc>
        <w:tc>
          <w:tcPr>
            <w:tcW w:w="1043" w:type="dxa"/>
            <w:noWrap w:val="0"/>
            <w:vAlign w:val="center"/>
          </w:tcPr>
          <w:p w14:paraId="16CD0F94">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jc w:val="center"/>
              <w:textAlignment w:val="baseline"/>
              <w:rPr>
                <w:rFonts w:hint="eastAsia" w:ascii="仿宋" w:hAnsi="仿宋" w:eastAsia="仿宋" w:cs="仿宋"/>
                <w:color w:val="000000"/>
                <w:spacing w:val="5"/>
                <w:sz w:val="21"/>
                <w:szCs w:val="21"/>
                <w:highlight w:val="none"/>
                <w:vertAlign w:val="baseline"/>
                <w:lang w:val="en-US" w:eastAsia="zh-CN"/>
              </w:rPr>
            </w:pPr>
            <w:r>
              <w:rPr>
                <w:rFonts w:hint="eastAsia" w:ascii="仿宋" w:hAnsi="仿宋" w:eastAsia="仿宋" w:cs="仿宋"/>
                <w:color w:val="000000"/>
                <w:spacing w:val="5"/>
                <w:sz w:val="21"/>
                <w:szCs w:val="21"/>
                <w:highlight w:val="none"/>
                <w:vertAlign w:val="baseline"/>
                <w:lang w:val="en-US" w:eastAsia="zh-CN"/>
              </w:rPr>
              <w:t>勘察设计周期按行业有关规定执行</w:t>
            </w:r>
          </w:p>
          <w:p w14:paraId="794FB9CE">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sz w:val="21"/>
                <w:szCs w:val="21"/>
                <w:highlight w:val="none"/>
                <w:vertAlign w:val="baseline"/>
                <w:lang w:val="en-US" w:eastAsia="zh-CN"/>
              </w:rPr>
            </w:pPr>
          </w:p>
        </w:tc>
      </w:tr>
      <w:tr w14:paraId="7881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880" w:type="dxa"/>
            <w:noWrap w:val="0"/>
            <w:vAlign w:val="center"/>
          </w:tcPr>
          <w:p w14:paraId="5EC25312">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JK-ZX1</w:t>
            </w:r>
          </w:p>
        </w:tc>
        <w:tc>
          <w:tcPr>
            <w:tcW w:w="1590" w:type="dxa"/>
            <w:vMerge w:val="continue"/>
            <w:noWrap w:val="0"/>
            <w:vAlign w:val="center"/>
          </w:tcPr>
          <w:p w14:paraId="7D4DA7EE">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sz w:val="21"/>
                <w:szCs w:val="21"/>
                <w:highlight w:val="none"/>
                <w:vertAlign w:val="baseline"/>
                <w:lang w:val="en-US" w:eastAsia="zh-CN"/>
              </w:rPr>
            </w:pPr>
          </w:p>
        </w:tc>
        <w:tc>
          <w:tcPr>
            <w:tcW w:w="5191" w:type="dxa"/>
            <w:noWrap w:val="0"/>
            <w:vAlign w:val="center"/>
          </w:tcPr>
          <w:p w14:paraId="53771828">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1.G5 京昆高速（西安至陕川界段））安全韧性提升工程勘察设计总体设计咨询及本项目建设方案咨询。</w:t>
            </w:r>
          </w:p>
          <w:p w14:paraId="5923E7CB">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2.G5 京昆高速（西安至陕川界段））安全韧性提升工程（含路线、路基、路面、桥涵、防护、排水、隧道、路线交叉、交通工程及沿线设施等）初步设计及概算和施工图设计及预算以及必须的勘察、监测(如有)等内容的设计咨询和地勘监理。</w:t>
            </w:r>
          </w:p>
          <w:p w14:paraId="6FA791AC">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3.工程量复核及概、预算复核；变更设计咨询。</w:t>
            </w:r>
          </w:p>
          <w:p w14:paraId="58A9BC8C">
            <w:pPr>
              <w:widowControl/>
              <w:adjustRightInd w:val="0"/>
              <w:snapToGrid w:val="0"/>
              <w:jc w:val="left"/>
              <w:rPr>
                <w:rFonts w:hint="eastAsia" w:ascii="仿宋" w:hAnsi="仿宋" w:eastAsia="仿宋" w:cs="仿宋"/>
                <w:color w:val="000000"/>
                <w:spacing w:val="5"/>
                <w:sz w:val="21"/>
                <w:szCs w:val="21"/>
                <w:highlight w:val="none"/>
                <w:vertAlign w:val="baseline"/>
                <w:lang w:val="en-US" w:eastAsia="zh-CN" w:bidi="zh-CN"/>
              </w:rPr>
            </w:pPr>
            <w:r>
              <w:rPr>
                <w:rFonts w:hint="eastAsia" w:ascii="仿宋" w:hAnsi="仿宋" w:eastAsia="仿宋" w:cs="仿宋"/>
                <w:color w:val="000000"/>
                <w:spacing w:val="5"/>
                <w:sz w:val="21"/>
                <w:szCs w:val="21"/>
                <w:highlight w:val="none"/>
                <w:vertAlign w:val="baseline"/>
                <w:lang w:val="en-US" w:eastAsia="zh-CN" w:bidi="zh-CN"/>
              </w:rPr>
              <w:t>4.后续服务工作。</w:t>
            </w:r>
          </w:p>
        </w:tc>
        <w:tc>
          <w:tcPr>
            <w:tcW w:w="1043" w:type="dxa"/>
            <w:noWrap w:val="0"/>
            <w:vAlign w:val="center"/>
          </w:tcPr>
          <w:p w14:paraId="093778B0">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jc w:val="center"/>
              <w:textAlignment w:val="baseline"/>
              <w:rPr>
                <w:rFonts w:hint="eastAsia" w:ascii="仿宋" w:hAnsi="仿宋" w:eastAsia="仿宋" w:cs="仿宋"/>
                <w:color w:val="000000"/>
                <w:spacing w:val="5"/>
                <w:sz w:val="21"/>
                <w:szCs w:val="21"/>
                <w:highlight w:val="none"/>
                <w:vertAlign w:val="baseline"/>
                <w:lang w:val="en-US" w:eastAsia="zh-CN"/>
              </w:rPr>
            </w:pPr>
            <w:r>
              <w:rPr>
                <w:rFonts w:hint="eastAsia" w:ascii="仿宋" w:hAnsi="仿宋" w:eastAsia="仿宋" w:cs="仿宋"/>
                <w:color w:val="000000"/>
                <w:spacing w:val="5"/>
                <w:sz w:val="21"/>
                <w:szCs w:val="21"/>
                <w:highlight w:val="none"/>
                <w:vertAlign w:val="baseline"/>
                <w:lang w:val="en-US" w:eastAsia="zh-CN"/>
              </w:rPr>
              <w:t>同步各设计阶段提交</w:t>
            </w:r>
          </w:p>
          <w:p w14:paraId="751044C9">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both"/>
              <w:textAlignment w:val="baseline"/>
              <w:rPr>
                <w:rFonts w:hint="eastAsia" w:ascii="仿宋" w:hAnsi="仿宋" w:eastAsia="仿宋" w:cs="仿宋"/>
                <w:color w:val="000000"/>
                <w:spacing w:val="5"/>
                <w:sz w:val="21"/>
                <w:szCs w:val="21"/>
                <w:highlight w:val="none"/>
                <w:vertAlign w:val="baseline"/>
                <w:lang w:val="en-US" w:eastAsia="zh-CN"/>
              </w:rPr>
            </w:pPr>
          </w:p>
        </w:tc>
      </w:tr>
    </w:tbl>
    <w:p w14:paraId="1238853F">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lang w:val="en-US" w:eastAsia="zh-CN"/>
        </w:rPr>
      </w:pPr>
      <w:bookmarkStart w:id="1" w:name="bookmark4"/>
      <w:bookmarkEnd w:id="1"/>
      <w:r>
        <w:rPr>
          <w:rFonts w:hint="eastAsia" w:ascii="仿宋" w:hAnsi="仿宋" w:eastAsia="仿宋" w:cs="仿宋"/>
          <w:b/>
          <w:kern w:val="0"/>
          <w:sz w:val="32"/>
          <w:szCs w:val="32"/>
          <w:lang w:val="en-US" w:eastAsia="zh-CN"/>
        </w:rPr>
        <w:t>2.投标人资格要求</w:t>
      </w:r>
    </w:p>
    <w:p w14:paraId="5F142BBB">
      <w:pPr>
        <w:pStyle w:val="12"/>
        <w:keepNext w:val="0"/>
        <w:keepLines w:val="0"/>
        <w:pageBreakBefore w:val="0"/>
        <w:widowControl w:val="0"/>
        <w:shd w:val="clear" w:color="auto"/>
        <w:tabs>
          <w:tab w:val="left" w:leader="underscore" w:pos="3528"/>
          <w:tab w:val="left" w:leader="underscore" w:pos="7357"/>
        </w:tabs>
        <w:kinsoku/>
        <w:wordWrap/>
        <w:overflowPunct/>
        <w:topLinePunct w:val="0"/>
        <w:autoSpaceDE/>
        <w:autoSpaceDN/>
        <w:bidi w:val="0"/>
        <w:adjustRightInd/>
        <w:snapToGrid/>
        <w:spacing w:before="0" w:after="0" w:line="460" w:lineRule="exact"/>
        <w:ind w:left="62" w:firstLine="442"/>
        <w:jc w:val="both"/>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.1本次招标要求投标人须具备独立法人资格，且资质、业绩达到以下最低要求，并在人员等方面具有相应的</w:t>
      </w:r>
      <w:r>
        <w:rPr>
          <w:rFonts w:hint="eastAsia" w:ascii="仿宋" w:hAnsi="仿宋" w:eastAsia="仿宋" w:cs="仿宋"/>
          <w:kern w:val="0"/>
          <w:sz w:val="28"/>
          <w:szCs w:val="28"/>
          <w:highlight w:val="none"/>
          <w:lang w:val="en-US" w:eastAsia="zh-CN"/>
        </w:rPr>
        <w:t>勘察设计</w:t>
      </w:r>
      <w:r>
        <w:rPr>
          <w:rFonts w:hint="eastAsia" w:ascii="仿宋" w:hAnsi="仿宋" w:eastAsia="仿宋" w:cs="仿宋"/>
          <w:kern w:val="0"/>
          <w:sz w:val="28"/>
          <w:szCs w:val="28"/>
          <w:highlight w:val="none"/>
        </w:rPr>
        <w:t>能力。</w:t>
      </w:r>
    </w:p>
    <w:p w14:paraId="637C29D9">
      <w:pPr>
        <w:pStyle w:val="12"/>
        <w:keepNext w:val="0"/>
        <w:keepLines w:val="0"/>
        <w:pageBreakBefore w:val="0"/>
        <w:widowControl w:val="0"/>
        <w:numPr>
          <w:ilvl w:val="0"/>
          <w:numId w:val="1"/>
        </w:numPr>
        <w:shd w:val="clear" w:color="auto"/>
        <w:tabs>
          <w:tab w:val="left" w:leader="underscore" w:pos="3528"/>
          <w:tab w:val="left" w:leader="underscore" w:pos="7357"/>
        </w:tabs>
        <w:kinsoku/>
        <w:wordWrap/>
        <w:overflowPunct/>
        <w:topLinePunct w:val="0"/>
        <w:autoSpaceDE/>
        <w:autoSpaceDN/>
        <w:bidi w:val="0"/>
        <w:adjustRightInd/>
        <w:snapToGrid/>
        <w:spacing w:before="0" w:after="0" w:line="460" w:lineRule="exact"/>
        <w:ind w:left="62" w:firstLine="442"/>
        <w:jc w:val="both"/>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资质最低要求</w:t>
      </w:r>
    </w:p>
    <w:tbl>
      <w:tblPr>
        <w:tblStyle w:val="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6782"/>
      </w:tblGrid>
      <w:tr w14:paraId="2A8B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58" w:type="dxa"/>
            <w:tcBorders>
              <w:top w:val="single" w:color="auto" w:sz="4" w:space="0"/>
              <w:left w:val="single" w:color="auto" w:sz="4" w:space="0"/>
              <w:bottom w:val="single" w:color="auto" w:sz="4" w:space="0"/>
              <w:right w:val="single" w:color="auto" w:sz="4" w:space="0"/>
            </w:tcBorders>
            <w:vAlign w:val="center"/>
          </w:tcPr>
          <w:p w14:paraId="52CE8F32">
            <w:pPr>
              <w:widowControl/>
              <w:shd w:val="clear"/>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标   段</w:t>
            </w:r>
          </w:p>
        </w:tc>
        <w:tc>
          <w:tcPr>
            <w:tcW w:w="6782" w:type="dxa"/>
            <w:tcBorders>
              <w:top w:val="single" w:color="auto" w:sz="4" w:space="0"/>
              <w:left w:val="single" w:color="auto" w:sz="4" w:space="0"/>
              <w:bottom w:val="single" w:color="auto" w:sz="4" w:space="0"/>
              <w:right w:val="single" w:color="auto" w:sz="4" w:space="0"/>
            </w:tcBorders>
            <w:vAlign w:val="center"/>
          </w:tcPr>
          <w:p w14:paraId="26C90488">
            <w:pPr>
              <w:widowControl/>
              <w:shd w:val="clear"/>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 质 要 求</w:t>
            </w:r>
          </w:p>
        </w:tc>
      </w:tr>
      <w:tr w14:paraId="7D32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58" w:type="dxa"/>
            <w:tcBorders>
              <w:top w:val="single" w:color="auto" w:sz="4" w:space="0"/>
              <w:left w:val="single" w:color="auto" w:sz="4" w:space="0"/>
              <w:bottom w:val="single" w:color="auto" w:sz="4" w:space="0"/>
              <w:right w:val="single" w:color="auto" w:sz="4" w:space="0"/>
            </w:tcBorders>
            <w:vAlign w:val="center"/>
          </w:tcPr>
          <w:p w14:paraId="3DC86F25">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JK-SJ1</w:t>
            </w:r>
          </w:p>
        </w:tc>
        <w:tc>
          <w:tcPr>
            <w:tcW w:w="6782" w:type="dxa"/>
            <w:tcBorders>
              <w:top w:val="single" w:color="auto" w:sz="4" w:space="0"/>
              <w:left w:val="single" w:color="auto" w:sz="4" w:space="0"/>
              <w:bottom w:val="single" w:color="auto" w:sz="4" w:space="0"/>
              <w:right w:val="single" w:color="auto" w:sz="4" w:space="0"/>
            </w:tcBorders>
            <w:vAlign w:val="center"/>
          </w:tcPr>
          <w:p w14:paraId="755FA69E">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1.具有独立法人资格；</w:t>
            </w:r>
          </w:p>
          <w:p w14:paraId="6BB073A6">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2.具备工程勘察综合甲级资质；</w:t>
            </w:r>
          </w:p>
          <w:p w14:paraId="158EC0D7">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3.具备工程设计综合甲级资质或公路行业甲级资质或公路行业（公路、特大桥梁、特长隧道、交通工程）专业甲级资质。</w:t>
            </w:r>
          </w:p>
        </w:tc>
      </w:tr>
      <w:tr w14:paraId="0E8FB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458" w:type="dxa"/>
            <w:tcBorders>
              <w:top w:val="single" w:color="auto" w:sz="4" w:space="0"/>
              <w:left w:val="single" w:color="auto" w:sz="4" w:space="0"/>
              <w:bottom w:val="single" w:color="auto" w:sz="4" w:space="0"/>
              <w:right w:val="single" w:color="auto" w:sz="4" w:space="0"/>
            </w:tcBorders>
            <w:shd w:val="clear" w:color="auto" w:fill="auto"/>
            <w:vAlign w:val="center"/>
          </w:tcPr>
          <w:p w14:paraId="0F49A7CC">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JK-ZX1</w:t>
            </w:r>
          </w:p>
        </w:tc>
        <w:tc>
          <w:tcPr>
            <w:tcW w:w="6782" w:type="dxa"/>
            <w:tcBorders>
              <w:top w:val="single" w:color="auto" w:sz="4" w:space="0"/>
              <w:left w:val="single" w:color="auto" w:sz="4" w:space="0"/>
              <w:right w:val="single" w:color="auto" w:sz="4" w:space="0"/>
            </w:tcBorders>
            <w:shd w:val="clear" w:color="auto" w:fill="auto"/>
            <w:vAlign w:val="center"/>
          </w:tcPr>
          <w:p w14:paraId="2BA3892E">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1.具有独立法人资格；</w:t>
            </w:r>
          </w:p>
          <w:p w14:paraId="6EFC85FD">
            <w:pPr>
              <w:widowControl/>
              <w:jc w:val="left"/>
              <w:rPr>
                <w:rFonts w:hint="eastAsia" w:ascii="仿宋" w:hAnsi="仿宋" w:eastAsia="仿宋" w:cs="仿宋"/>
                <w:color w:val="auto"/>
                <w:spacing w:val="5"/>
                <w:sz w:val="21"/>
                <w:szCs w:val="21"/>
                <w:highlight w:val="none"/>
                <w:lang w:val="zh-CN" w:eastAsia="zh-CN" w:bidi="zh-CN"/>
              </w:rPr>
            </w:pPr>
            <w:r>
              <w:rPr>
                <w:rFonts w:hint="eastAsia" w:ascii="仿宋" w:hAnsi="仿宋" w:eastAsia="仿宋" w:cs="仿宋"/>
                <w:color w:val="auto"/>
                <w:spacing w:val="5"/>
                <w:sz w:val="21"/>
                <w:szCs w:val="21"/>
                <w:highlight w:val="none"/>
                <w:lang w:val="en-US" w:eastAsia="zh-CN" w:bidi="zh-CN"/>
              </w:rPr>
              <w:t>2.已在“全国投资项目在线审批监管平台”备案，且备案专业包括公路专业。</w:t>
            </w:r>
          </w:p>
        </w:tc>
      </w:tr>
    </w:tbl>
    <w:p w14:paraId="244AFFEB">
      <w:pPr>
        <w:pStyle w:val="12"/>
        <w:numPr>
          <w:ilvl w:val="0"/>
          <w:numId w:val="1"/>
        </w:numPr>
        <w:shd w:val="clear" w:color="auto"/>
        <w:tabs>
          <w:tab w:val="left" w:leader="underscore" w:pos="3528"/>
          <w:tab w:val="left" w:leader="underscore" w:pos="7357"/>
        </w:tabs>
        <w:spacing w:before="0" w:after="0" w:line="500" w:lineRule="exact"/>
        <w:ind w:left="62" w:leftChars="0" w:firstLine="442" w:firstLineChars="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业绩最低要求</w:t>
      </w:r>
    </w:p>
    <w:tbl>
      <w:tblPr>
        <w:tblStyle w:val="20"/>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8"/>
        <w:gridCol w:w="6870"/>
      </w:tblGrid>
      <w:tr w14:paraId="715C8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1428" w:type="dxa"/>
            <w:noWrap w:val="0"/>
            <w:vAlign w:val="center"/>
          </w:tcPr>
          <w:p w14:paraId="1900DA16">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标段</w:t>
            </w:r>
          </w:p>
        </w:tc>
        <w:tc>
          <w:tcPr>
            <w:tcW w:w="6870" w:type="dxa"/>
            <w:tcBorders>
              <w:right w:val="single" w:color="auto" w:sz="4" w:space="0"/>
            </w:tcBorders>
            <w:noWrap w:val="0"/>
            <w:vAlign w:val="center"/>
          </w:tcPr>
          <w:p w14:paraId="210E637C">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业绩要求</w:t>
            </w:r>
          </w:p>
        </w:tc>
      </w:tr>
      <w:tr w14:paraId="62E30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jc w:val="center"/>
        </w:trPr>
        <w:tc>
          <w:tcPr>
            <w:tcW w:w="1428" w:type="dxa"/>
            <w:noWrap w:val="0"/>
            <w:vAlign w:val="center"/>
          </w:tcPr>
          <w:p w14:paraId="3311BE15">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JK-SJ1</w:t>
            </w:r>
          </w:p>
        </w:tc>
        <w:tc>
          <w:tcPr>
            <w:tcW w:w="6870" w:type="dxa"/>
            <w:tcBorders>
              <w:right w:val="single" w:color="auto" w:sz="4" w:space="0"/>
            </w:tcBorders>
            <w:noWrap w:val="0"/>
            <w:vAlign w:val="center"/>
          </w:tcPr>
          <w:p w14:paraId="3AFECE0C">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近5年以来至少完成过2个新建或改扩建高速公路勘察设计合同段业绩，且累计路段里程不小于300公里。</w:t>
            </w:r>
          </w:p>
        </w:tc>
      </w:tr>
      <w:tr w14:paraId="31E2A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1428" w:type="dxa"/>
            <w:noWrap w:val="0"/>
            <w:vAlign w:val="center"/>
          </w:tcPr>
          <w:p w14:paraId="43789CF9">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JK-ZX1</w:t>
            </w:r>
          </w:p>
        </w:tc>
        <w:tc>
          <w:tcPr>
            <w:tcW w:w="6870" w:type="dxa"/>
            <w:tcBorders>
              <w:right w:val="single" w:color="auto" w:sz="4" w:space="0"/>
            </w:tcBorders>
            <w:noWrap w:val="0"/>
            <w:vAlign w:val="center"/>
          </w:tcPr>
          <w:p w14:paraId="4A1117AF">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近5年以来至少完成过2个新建或改扩建高速公路勘察设计或设计咨询合同段，且累计路段里程不小于300公里。</w:t>
            </w:r>
          </w:p>
        </w:tc>
      </w:tr>
    </w:tbl>
    <w:p w14:paraId="05B1DD34">
      <w:pPr>
        <w:pStyle w:val="12"/>
        <w:keepNext w:val="0"/>
        <w:keepLines w:val="0"/>
        <w:pageBreakBefore w:val="0"/>
        <w:widowControl w:val="0"/>
        <w:shd w:val="clear" w:color="auto"/>
        <w:tabs>
          <w:tab w:val="left" w:leader="underscore" w:pos="3528"/>
          <w:tab w:val="left" w:leader="underscore" w:pos="7357"/>
        </w:tabs>
        <w:kinsoku/>
        <w:wordWrap/>
        <w:overflowPunct/>
        <w:topLinePunct w:val="0"/>
        <w:autoSpaceDE/>
        <w:autoSpaceDN/>
        <w:bidi w:val="0"/>
        <w:adjustRightInd/>
        <w:snapToGrid/>
        <w:spacing w:before="0" w:after="0" w:line="320" w:lineRule="exact"/>
        <w:ind w:left="0" w:firstLine="422" w:firstLineChars="200"/>
        <w:jc w:val="both"/>
        <w:textAlignment w:val="auto"/>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注：“近 5 年以来”指 2020 年 1 月 1 日至投标截止时间，以下相同；业绩的完成和时间要求以初步设计或施工图设计批复后时间为准为准。</w:t>
      </w:r>
    </w:p>
    <w:p w14:paraId="7671F0F8">
      <w:pPr>
        <w:pStyle w:val="12"/>
        <w:keepNext w:val="0"/>
        <w:keepLines w:val="0"/>
        <w:pageBreakBefore w:val="0"/>
        <w:widowControl w:val="0"/>
        <w:numPr>
          <w:ilvl w:val="0"/>
          <w:numId w:val="1"/>
        </w:numPr>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460" w:lineRule="exact"/>
        <w:ind w:left="62" w:firstLine="442"/>
        <w:jc w:val="both"/>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信誉最低要求</w:t>
      </w:r>
    </w:p>
    <w:tbl>
      <w:tblPr>
        <w:tblStyle w:val="9"/>
        <w:tblW w:w="8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6573"/>
      </w:tblGrid>
      <w:tr w14:paraId="166D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1EA8B11D">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标   段</w:t>
            </w:r>
          </w:p>
        </w:tc>
        <w:tc>
          <w:tcPr>
            <w:tcW w:w="6573" w:type="dxa"/>
            <w:tcBorders>
              <w:top w:val="single" w:color="auto" w:sz="4" w:space="0"/>
              <w:left w:val="single" w:color="auto" w:sz="4" w:space="0"/>
              <w:bottom w:val="single" w:color="auto" w:sz="4" w:space="0"/>
              <w:right w:val="single" w:color="auto" w:sz="4" w:space="0"/>
            </w:tcBorders>
            <w:vAlign w:val="center"/>
          </w:tcPr>
          <w:p w14:paraId="4E3FAB1A">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信 誉 要 求</w:t>
            </w:r>
          </w:p>
        </w:tc>
      </w:tr>
      <w:tr w14:paraId="1FE1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01E9A84C">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JK-SJ1</w:t>
            </w:r>
          </w:p>
          <w:p w14:paraId="5FFC6F4D">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JK-ZX1</w:t>
            </w:r>
          </w:p>
        </w:tc>
        <w:tc>
          <w:tcPr>
            <w:tcW w:w="6573" w:type="dxa"/>
            <w:tcBorders>
              <w:top w:val="single" w:color="auto" w:sz="4" w:space="0"/>
              <w:left w:val="single" w:color="auto" w:sz="4" w:space="0"/>
              <w:right w:val="single" w:color="auto" w:sz="4" w:space="0"/>
            </w:tcBorders>
            <w:vAlign w:val="center"/>
          </w:tcPr>
          <w:p w14:paraId="5C89D8C8">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未被交通运输部或陕西省交通运输厅列为信用评价等级D级且在处罚有效期内。</w:t>
            </w:r>
          </w:p>
        </w:tc>
      </w:tr>
    </w:tbl>
    <w:p w14:paraId="0B3EFB40">
      <w:pPr>
        <w:pStyle w:val="12"/>
        <w:keepNext w:val="0"/>
        <w:keepLines w:val="0"/>
        <w:pageBreakBefore w:val="0"/>
        <w:widowControl w:val="0"/>
        <w:numPr>
          <w:ilvl w:val="0"/>
          <w:numId w:val="1"/>
        </w:numPr>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460" w:lineRule="exact"/>
        <w:ind w:left="62" w:firstLine="442"/>
        <w:jc w:val="both"/>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主要</w:t>
      </w:r>
      <w:r>
        <w:rPr>
          <w:rFonts w:hint="eastAsia" w:ascii="仿宋" w:hAnsi="仿宋" w:eastAsia="仿宋" w:cs="仿宋"/>
          <w:kern w:val="0"/>
          <w:sz w:val="28"/>
          <w:szCs w:val="28"/>
          <w:highlight w:val="none"/>
        </w:rPr>
        <w:t>人员最低要求</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1343"/>
        <w:gridCol w:w="792"/>
        <w:gridCol w:w="4588"/>
      </w:tblGrid>
      <w:tr w14:paraId="0EEE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jc w:val="center"/>
        </w:trPr>
        <w:tc>
          <w:tcPr>
            <w:tcW w:w="1580" w:type="dxa"/>
            <w:tcBorders>
              <w:tl2br w:val="nil"/>
              <w:tr2bl w:val="nil"/>
            </w:tcBorders>
            <w:vAlign w:val="center"/>
          </w:tcPr>
          <w:p w14:paraId="5DA1F5A0">
            <w:pPr>
              <w:jc w:val="center"/>
              <w:rPr>
                <w:rFonts w:hint="eastAsia" w:ascii="仿宋" w:hAnsi="仿宋" w:eastAsia="仿宋" w:cs="仿宋"/>
                <w:spacing w:val="0"/>
                <w:szCs w:val="21"/>
                <w:highlight w:val="none"/>
                <w:lang w:val="en-US" w:eastAsia="zh-CN"/>
              </w:rPr>
            </w:pPr>
            <w:r>
              <w:rPr>
                <w:rFonts w:hint="eastAsia" w:ascii="仿宋" w:hAnsi="仿宋" w:eastAsia="仿宋" w:cs="仿宋"/>
                <w:spacing w:val="0"/>
                <w:szCs w:val="21"/>
                <w:highlight w:val="none"/>
                <w:lang w:val="en-US" w:eastAsia="zh-CN"/>
              </w:rPr>
              <w:t>标段</w:t>
            </w:r>
          </w:p>
        </w:tc>
        <w:tc>
          <w:tcPr>
            <w:tcW w:w="1343" w:type="dxa"/>
            <w:tcBorders>
              <w:tl2br w:val="nil"/>
              <w:tr2bl w:val="nil"/>
            </w:tcBorders>
            <w:vAlign w:val="center"/>
          </w:tcPr>
          <w:p w14:paraId="28FFD738">
            <w:pPr>
              <w:jc w:val="center"/>
              <w:rPr>
                <w:rFonts w:hint="eastAsia" w:ascii="仿宋" w:hAnsi="仿宋" w:eastAsia="仿宋" w:cs="仿宋"/>
                <w:spacing w:val="0"/>
                <w:szCs w:val="21"/>
                <w:highlight w:val="none"/>
              </w:rPr>
            </w:pPr>
            <w:r>
              <w:rPr>
                <w:rFonts w:hint="eastAsia" w:ascii="仿宋" w:hAnsi="仿宋" w:eastAsia="仿宋" w:cs="仿宋"/>
                <w:spacing w:val="0"/>
                <w:szCs w:val="21"/>
                <w:highlight w:val="none"/>
              </w:rPr>
              <w:t>人员</w:t>
            </w:r>
          </w:p>
        </w:tc>
        <w:tc>
          <w:tcPr>
            <w:tcW w:w="792" w:type="dxa"/>
            <w:tcBorders>
              <w:tl2br w:val="nil"/>
              <w:tr2bl w:val="nil"/>
            </w:tcBorders>
            <w:vAlign w:val="center"/>
          </w:tcPr>
          <w:p w14:paraId="43CDD0E1">
            <w:pPr>
              <w:jc w:val="center"/>
              <w:rPr>
                <w:rFonts w:hint="eastAsia" w:ascii="仿宋" w:hAnsi="仿宋" w:eastAsia="仿宋" w:cs="仿宋"/>
                <w:spacing w:val="0"/>
                <w:szCs w:val="21"/>
                <w:highlight w:val="none"/>
              </w:rPr>
            </w:pPr>
            <w:r>
              <w:rPr>
                <w:rFonts w:hint="eastAsia" w:ascii="仿宋" w:hAnsi="仿宋" w:eastAsia="仿宋" w:cs="仿宋"/>
                <w:spacing w:val="0"/>
                <w:szCs w:val="21"/>
                <w:highlight w:val="none"/>
              </w:rPr>
              <w:t>数量</w:t>
            </w:r>
          </w:p>
        </w:tc>
        <w:tc>
          <w:tcPr>
            <w:tcW w:w="4588" w:type="dxa"/>
            <w:tcBorders>
              <w:tl2br w:val="nil"/>
              <w:tr2bl w:val="nil"/>
            </w:tcBorders>
            <w:vAlign w:val="center"/>
          </w:tcPr>
          <w:p w14:paraId="2AC3341F">
            <w:pPr>
              <w:jc w:val="center"/>
              <w:rPr>
                <w:rFonts w:hint="eastAsia" w:ascii="仿宋" w:hAnsi="仿宋" w:eastAsia="仿宋" w:cs="仿宋"/>
                <w:spacing w:val="0"/>
                <w:szCs w:val="21"/>
                <w:highlight w:val="none"/>
              </w:rPr>
            </w:pPr>
            <w:r>
              <w:rPr>
                <w:rFonts w:hint="eastAsia" w:ascii="仿宋" w:hAnsi="仿宋" w:eastAsia="仿宋" w:cs="仿宋"/>
                <w:spacing w:val="0"/>
                <w:szCs w:val="21"/>
                <w:highlight w:val="none"/>
              </w:rPr>
              <w:t>资格要求</w:t>
            </w:r>
          </w:p>
        </w:tc>
      </w:tr>
      <w:tr w14:paraId="0462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1580" w:type="dxa"/>
            <w:tcBorders>
              <w:tl2br w:val="nil"/>
              <w:tr2bl w:val="nil"/>
            </w:tcBorders>
            <w:vAlign w:val="center"/>
          </w:tcPr>
          <w:p w14:paraId="438464B3">
            <w:pPr>
              <w:widowControl/>
              <w:jc w:val="center"/>
              <w:rPr>
                <w:rFonts w:hint="eastAsia" w:ascii="仿宋" w:hAnsi="仿宋" w:eastAsia="仿宋" w:cs="仿宋"/>
                <w:spacing w:val="0"/>
                <w:kern w:val="0"/>
                <w:szCs w:val="21"/>
                <w:highlight w:val="none"/>
                <w:lang w:eastAsia="zh-CN"/>
              </w:rPr>
            </w:pPr>
            <w:r>
              <w:rPr>
                <w:rFonts w:hint="eastAsia" w:ascii="仿宋" w:hAnsi="仿宋" w:eastAsia="仿宋" w:cs="仿宋"/>
                <w:spacing w:val="0"/>
                <w:kern w:val="0"/>
                <w:szCs w:val="21"/>
                <w:highlight w:val="none"/>
                <w:lang w:eastAsia="zh-CN"/>
              </w:rPr>
              <w:t>JK-SJ1</w:t>
            </w:r>
          </w:p>
        </w:tc>
        <w:tc>
          <w:tcPr>
            <w:tcW w:w="1343" w:type="dxa"/>
            <w:tcBorders>
              <w:tl2br w:val="nil"/>
              <w:tr2bl w:val="nil"/>
            </w:tcBorders>
            <w:vAlign w:val="center"/>
          </w:tcPr>
          <w:p w14:paraId="41548319">
            <w:pPr>
              <w:widowControl/>
              <w:jc w:val="center"/>
              <w:rPr>
                <w:rFonts w:hint="eastAsia" w:ascii="仿宋" w:hAnsi="仿宋" w:eastAsia="仿宋" w:cs="仿宋"/>
                <w:spacing w:val="0"/>
                <w:kern w:val="0"/>
                <w:szCs w:val="21"/>
                <w:highlight w:val="none"/>
                <w:lang w:val="en-US" w:eastAsia="zh-CN"/>
              </w:rPr>
            </w:pPr>
            <w:r>
              <w:rPr>
                <w:rFonts w:hint="eastAsia" w:ascii="仿宋" w:hAnsi="仿宋" w:eastAsia="仿宋" w:cs="仿宋"/>
                <w:spacing w:val="0"/>
                <w:kern w:val="0"/>
                <w:szCs w:val="21"/>
                <w:highlight w:val="none"/>
                <w:lang w:eastAsia="zh-CN"/>
              </w:rPr>
              <w:t>项目负责人</w:t>
            </w:r>
          </w:p>
        </w:tc>
        <w:tc>
          <w:tcPr>
            <w:tcW w:w="792" w:type="dxa"/>
            <w:tcBorders>
              <w:tl2br w:val="nil"/>
              <w:tr2bl w:val="nil"/>
            </w:tcBorders>
            <w:vAlign w:val="center"/>
          </w:tcPr>
          <w:p w14:paraId="4186FFEB">
            <w:pPr>
              <w:widowControl/>
              <w:jc w:val="center"/>
              <w:rPr>
                <w:rFonts w:hint="eastAsia" w:ascii="仿宋" w:hAnsi="仿宋" w:eastAsia="仿宋" w:cs="仿宋"/>
                <w:spacing w:val="0"/>
                <w:kern w:val="0"/>
                <w:szCs w:val="21"/>
                <w:highlight w:val="none"/>
                <w:lang w:eastAsia="zh-CN"/>
              </w:rPr>
            </w:pPr>
            <w:r>
              <w:rPr>
                <w:rFonts w:hint="eastAsia" w:ascii="仿宋" w:hAnsi="仿宋" w:eastAsia="仿宋" w:cs="仿宋"/>
                <w:spacing w:val="0"/>
                <w:kern w:val="0"/>
                <w:szCs w:val="21"/>
                <w:highlight w:val="none"/>
                <w:lang w:eastAsia="zh-CN"/>
              </w:rPr>
              <w:t>1</w:t>
            </w:r>
          </w:p>
        </w:tc>
        <w:tc>
          <w:tcPr>
            <w:tcW w:w="4588" w:type="dxa"/>
            <w:tcBorders>
              <w:tl2br w:val="nil"/>
              <w:tr2bl w:val="nil"/>
            </w:tcBorders>
            <w:vAlign w:val="center"/>
          </w:tcPr>
          <w:p w14:paraId="3F8AB3D6">
            <w:pPr>
              <w:widowControl/>
              <w:jc w:val="left"/>
              <w:rPr>
                <w:rFonts w:hint="eastAsia" w:ascii="仿宋" w:hAnsi="仿宋" w:eastAsia="仿宋" w:cs="仿宋"/>
                <w:spacing w:val="0"/>
                <w:highlight w:val="none"/>
                <w:lang w:eastAsia="zh-CN"/>
              </w:rPr>
            </w:pPr>
            <w:r>
              <w:rPr>
                <w:rFonts w:hint="eastAsia" w:ascii="仿宋" w:hAnsi="仿宋" w:eastAsia="仿宋" w:cs="仿宋"/>
                <w:spacing w:val="0"/>
                <w:highlight w:val="none"/>
                <w:lang w:val="en-US" w:eastAsia="zh-CN"/>
              </w:rPr>
              <w:t>公路工程相关专业高级技术职称；2020年1月1日至投标截止时间（以初步设计或施工图设计批复时间为准），至少担任过1个新建或改扩建高速公路勘察设计合同段项目负责人。</w:t>
            </w:r>
          </w:p>
        </w:tc>
      </w:tr>
      <w:tr w14:paraId="5733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80" w:type="dxa"/>
            <w:tcBorders>
              <w:tl2br w:val="nil"/>
              <w:tr2bl w:val="nil"/>
            </w:tcBorders>
            <w:vAlign w:val="center"/>
          </w:tcPr>
          <w:p w14:paraId="1D58569A">
            <w:pPr>
              <w:widowControl/>
              <w:jc w:val="center"/>
              <w:rPr>
                <w:rFonts w:hint="eastAsia" w:ascii="仿宋" w:hAnsi="仿宋" w:eastAsia="仿宋" w:cs="仿宋"/>
                <w:spacing w:val="0"/>
                <w:kern w:val="0"/>
                <w:szCs w:val="21"/>
                <w:highlight w:val="none"/>
                <w:lang w:eastAsia="zh-CN"/>
              </w:rPr>
            </w:pPr>
            <w:r>
              <w:rPr>
                <w:rFonts w:hint="eastAsia" w:ascii="仿宋" w:hAnsi="仿宋" w:eastAsia="仿宋" w:cs="仿宋"/>
                <w:color w:val="auto"/>
                <w:spacing w:val="5"/>
                <w:sz w:val="21"/>
                <w:szCs w:val="21"/>
                <w:highlight w:val="none"/>
                <w:lang w:val="en-US" w:eastAsia="zh-CN" w:bidi="zh-CN"/>
              </w:rPr>
              <w:t>JK-ZX1</w:t>
            </w:r>
          </w:p>
        </w:tc>
        <w:tc>
          <w:tcPr>
            <w:tcW w:w="1343" w:type="dxa"/>
            <w:tcBorders>
              <w:tl2br w:val="nil"/>
              <w:tr2bl w:val="nil"/>
            </w:tcBorders>
            <w:shd w:val="clear" w:color="auto" w:fill="auto"/>
            <w:vAlign w:val="center"/>
          </w:tcPr>
          <w:p w14:paraId="20BCDF9F">
            <w:pPr>
              <w:widowControl/>
              <w:jc w:val="center"/>
              <w:rPr>
                <w:rFonts w:hint="eastAsia" w:ascii="仿宋" w:hAnsi="仿宋" w:eastAsia="仿宋" w:cs="仿宋"/>
                <w:spacing w:val="0"/>
                <w:kern w:val="0"/>
                <w:sz w:val="21"/>
                <w:szCs w:val="21"/>
                <w:highlight w:val="none"/>
                <w:lang w:val="en-US" w:eastAsia="zh-CN" w:bidi="ar-SA"/>
              </w:rPr>
            </w:pPr>
            <w:r>
              <w:rPr>
                <w:rFonts w:hint="eastAsia" w:ascii="仿宋" w:hAnsi="仿宋" w:eastAsia="仿宋" w:cs="仿宋"/>
                <w:spacing w:val="0"/>
                <w:kern w:val="0"/>
                <w:szCs w:val="21"/>
                <w:highlight w:val="none"/>
                <w:lang w:eastAsia="zh-CN"/>
              </w:rPr>
              <w:t>项目负责人</w:t>
            </w:r>
          </w:p>
        </w:tc>
        <w:tc>
          <w:tcPr>
            <w:tcW w:w="792" w:type="dxa"/>
            <w:tcBorders>
              <w:tl2br w:val="nil"/>
              <w:tr2bl w:val="nil"/>
            </w:tcBorders>
            <w:shd w:val="clear" w:color="auto" w:fill="auto"/>
            <w:vAlign w:val="center"/>
          </w:tcPr>
          <w:p w14:paraId="2B837F7C">
            <w:pPr>
              <w:widowControl/>
              <w:jc w:val="center"/>
              <w:rPr>
                <w:rFonts w:hint="eastAsia" w:ascii="仿宋" w:hAnsi="仿宋" w:eastAsia="仿宋" w:cs="仿宋"/>
                <w:spacing w:val="0"/>
                <w:kern w:val="0"/>
                <w:sz w:val="21"/>
                <w:szCs w:val="21"/>
                <w:highlight w:val="none"/>
                <w:lang w:val="en-US" w:eastAsia="zh-CN" w:bidi="ar-SA"/>
              </w:rPr>
            </w:pPr>
            <w:r>
              <w:rPr>
                <w:rFonts w:hint="eastAsia" w:ascii="仿宋" w:hAnsi="仿宋" w:eastAsia="仿宋" w:cs="仿宋"/>
                <w:spacing w:val="0"/>
                <w:kern w:val="0"/>
                <w:szCs w:val="21"/>
                <w:highlight w:val="none"/>
                <w:lang w:eastAsia="zh-CN"/>
              </w:rPr>
              <w:t>1</w:t>
            </w:r>
          </w:p>
        </w:tc>
        <w:tc>
          <w:tcPr>
            <w:tcW w:w="4588" w:type="dxa"/>
            <w:tcBorders>
              <w:tl2br w:val="nil"/>
              <w:tr2bl w:val="nil"/>
            </w:tcBorders>
            <w:vAlign w:val="center"/>
          </w:tcPr>
          <w:p w14:paraId="6255AE20">
            <w:pPr>
              <w:widowControl/>
              <w:jc w:val="left"/>
              <w:rPr>
                <w:rFonts w:hint="eastAsia" w:ascii="仿宋" w:hAnsi="仿宋" w:eastAsia="仿宋" w:cs="仿宋"/>
                <w:spacing w:val="0"/>
                <w:highlight w:val="none"/>
                <w:lang w:eastAsia="zh-CN"/>
              </w:rPr>
            </w:pPr>
            <w:r>
              <w:rPr>
                <w:rFonts w:hint="eastAsia" w:ascii="仿宋" w:hAnsi="仿宋" w:eastAsia="仿宋" w:cs="仿宋"/>
                <w:spacing w:val="0"/>
                <w:highlight w:val="none"/>
                <w:lang w:val="en-US" w:eastAsia="zh-CN"/>
              </w:rPr>
              <w:t>公路工程相关专业高级技术职称；2020年1月1日至投标截止时间（以初步设计或施工图设计批复时间为准），至少担任过1个新建或改扩建高速公路勘察设计或设计咨询或设计审查合同段项目负责人。</w:t>
            </w:r>
          </w:p>
        </w:tc>
      </w:tr>
    </w:tbl>
    <w:p w14:paraId="3B81DE76">
      <w:pPr>
        <w:pStyle w:val="12"/>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lang w:val="en-US" w:eastAsia="zh-CN"/>
        </w:rPr>
      </w:pPr>
    </w:p>
    <w:p w14:paraId="5FAF96C5">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2.2各投标人可对多个标段投标，最多可允许中1个标段。</w:t>
      </w:r>
    </w:p>
    <w:p w14:paraId="5240701A">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2.3同一单位以及单位负责人为同一人或者存在控股、管理关系的不同单位，不能同时获得勘察设计标段及设计咨询标段的中标资格。如若出现，将优先保留其勘察设计标段的中标资格，取消其设计咨询标段的中标资格。</w:t>
      </w:r>
    </w:p>
    <w:p w14:paraId="33008D86">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2.4投标人应进入交通运输部“全国公路建设市场监督管理系统”中的公路工程设计资质企业名录，且投标人名称和资质与该名录中的相应企业名称和资质完全一致。</w:t>
      </w:r>
    </w:p>
    <w:p w14:paraId="085F8155">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2.5</w:t>
      </w:r>
      <w:r>
        <w:rPr>
          <w:rFonts w:hint="eastAsia" w:ascii="仿宋" w:hAnsi="仿宋" w:eastAsia="仿宋" w:cs="仿宋"/>
          <w:sz w:val="28"/>
          <w:szCs w:val="28"/>
          <w:highlight w:val="none"/>
        </w:rPr>
        <w:t>与招标人存在利害关系可能影响招标公正性的单位，不得参加投标。单位负责人为同一人或存在控股、管理关系的不同单位，不得参加同一标段投标，否则，相关投标均无效。</w:t>
      </w:r>
    </w:p>
    <w:p w14:paraId="63E0021D">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rPr>
        <w:t>.</w:t>
      </w:r>
      <w:r>
        <w:rPr>
          <w:rFonts w:hint="eastAsia" w:ascii="仿宋" w:hAnsi="仿宋" w:eastAsia="仿宋" w:cs="仿宋"/>
          <w:kern w:val="0"/>
          <w:sz w:val="28"/>
          <w:szCs w:val="28"/>
          <w:highlight w:val="none"/>
          <w:lang w:val="en-US" w:eastAsia="zh-CN"/>
        </w:rPr>
        <w:t>6</w:t>
      </w:r>
      <w:r>
        <w:rPr>
          <w:rFonts w:hint="eastAsia" w:ascii="仿宋" w:hAnsi="仿宋" w:eastAsia="仿宋" w:cs="仿宋"/>
          <w:kern w:val="0"/>
          <w:sz w:val="28"/>
          <w:szCs w:val="28"/>
          <w:highlight w:val="none"/>
        </w:rPr>
        <w:t xml:space="preserve">本次招标 </w:t>
      </w:r>
      <w:r>
        <w:rPr>
          <w:rFonts w:hint="eastAsia" w:ascii="仿宋" w:hAnsi="仿宋" w:eastAsia="仿宋" w:cs="仿宋"/>
          <w:kern w:val="0"/>
          <w:sz w:val="28"/>
          <w:szCs w:val="28"/>
          <w:highlight w:val="none"/>
          <w:lang w:eastAsia="zh-CN"/>
        </w:rPr>
        <w:t>JK</w:t>
      </w:r>
      <w:r>
        <w:rPr>
          <w:rFonts w:hint="eastAsia" w:ascii="仿宋" w:hAnsi="仿宋" w:eastAsia="仿宋" w:cs="仿宋"/>
          <w:kern w:val="0"/>
          <w:sz w:val="28"/>
          <w:szCs w:val="28"/>
          <w:highlight w:val="none"/>
        </w:rPr>
        <w:t>-SJ1 标段接受联合体投标，</w:t>
      </w:r>
      <w:r>
        <w:rPr>
          <w:rFonts w:hint="eastAsia" w:ascii="仿宋" w:hAnsi="仿宋" w:eastAsia="仿宋" w:cs="仿宋"/>
          <w:kern w:val="0"/>
          <w:sz w:val="28"/>
          <w:szCs w:val="28"/>
          <w:highlight w:val="none"/>
          <w:lang w:eastAsia="zh-CN"/>
        </w:rPr>
        <w:t>JK</w:t>
      </w:r>
      <w:r>
        <w:rPr>
          <w:rFonts w:hint="eastAsia" w:ascii="仿宋" w:hAnsi="仿宋" w:eastAsia="仿宋" w:cs="仿宋"/>
          <w:kern w:val="0"/>
          <w:sz w:val="28"/>
          <w:szCs w:val="28"/>
          <w:highlight w:val="none"/>
        </w:rPr>
        <w:t>-ZX1 标段不接受联合体投标。</w:t>
      </w:r>
    </w:p>
    <w:p w14:paraId="50617E53">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lang w:eastAsia="zh-CN"/>
        </w:rPr>
        <w:t>JK</w:t>
      </w:r>
      <w:r>
        <w:rPr>
          <w:rFonts w:hint="eastAsia" w:ascii="仿宋" w:hAnsi="仿宋" w:eastAsia="仿宋" w:cs="仿宋"/>
          <w:kern w:val="0"/>
          <w:sz w:val="28"/>
          <w:szCs w:val="28"/>
          <w:highlight w:val="none"/>
        </w:rPr>
        <w:t>-SJ1 标段若采用联合体投标的，必须满足以下要求：</w:t>
      </w:r>
    </w:p>
    <w:p w14:paraId="57EED27D">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（1）联合体各成员均应具备独立法人资格，联合体各成员均应满足资质最低要求，本次招标只接受投标人根据本高速公路韧性提升工程的不同设计段落组成联合体。成员不超过 3 家(含3 家）单位，项目负责人应为牵头单位人员。</w:t>
      </w:r>
    </w:p>
    <w:p w14:paraId="285D7BF6">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（2）按照各单位相应业绩之和确定联合体具有的业绩。</w:t>
      </w:r>
    </w:p>
    <w:p w14:paraId="19AD18FB">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（3）联合体各方不得再以自己的名义单独或参加其他联合体在同一标段中投标。</w:t>
      </w:r>
    </w:p>
    <w:p w14:paraId="3BBF04B5">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（4）联合体各方以及与其具有关联关系（单位负责人为同一人或存在控股、管理关系）的单位，不得再以自己名义单独或参加其他联合体在本次投标。</w:t>
      </w:r>
    </w:p>
    <w:p w14:paraId="52128FD6">
      <w:pPr>
        <w:pStyle w:val="12"/>
        <w:shd w:val="clear" w:color="auto"/>
        <w:tabs>
          <w:tab w:val="left" w:leader="underscore" w:pos="3528"/>
          <w:tab w:val="left" w:leader="underscore" w:pos="7357"/>
        </w:tabs>
        <w:spacing w:before="0" w:after="0" w:line="480" w:lineRule="exact"/>
        <w:ind w:left="62" w:firstLine="442"/>
        <w:jc w:val="both"/>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（5）联合体各方应按规定的格式签订联合体协议书，在协议书中明确各自在项目中的工作范围、权利、义务以及联合体牵头人，并承诺就中标项目向招标人承担连带责任</w:t>
      </w:r>
      <w:r>
        <w:rPr>
          <w:rFonts w:hint="eastAsia" w:ascii="仿宋" w:hAnsi="仿宋" w:eastAsia="仿宋" w:cs="仿宋"/>
          <w:kern w:val="0"/>
          <w:sz w:val="28"/>
          <w:szCs w:val="28"/>
          <w:highlight w:val="none"/>
          <w:lang w:eastAsia="zh-CN"/>
        </w:rPr>
        <w:t>。</w:t>
      </w:r>
    </w:p>
    <w:p w14:paraId="0254514D">
      <w:pPr>
        <w:shd w:val="clear"/>
        <w:spacing w:line="4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在“信用中国”网站（http://www.creditchina.gov.cn/）中被列入失信被执行人名单的投标人，不得参加投标。</w:t>
      </w:r>
    </w:p>
    <w:p w14:paraId="26E3CC86">
      <w:pPr>
        <w:shd w:val="clear"/>
        <w:spacing w:line="480" w:lineRule="exact"/>
        <w:ind w:firstLine="480" w:firstLineChars="200"/>
        <w:rPr>
          <w:rFonts w:hint="eastAsia" w:ascii="宋体" w:hAnsi="宋体" w:eastAsia="宋体" w:cs="宋体"/>
          <w:sz w:val="24"/>
          <w:szCs w:val="24"/>
          <w:highlight w:val="none"/>
        </w:rPr>
      </w:pPr>
    </w:p>
    <w:p w14:paraId="667EEC76">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ind w:firstLine="562" w:firstLineChars="200"/>
        <w:jc w:val="both"/>
        <w:textAlignment w:val="auto"/>
        <w:rPr>
          <w:rFonts w:hint="eastAsia" w:ascii="宋体" w:hAnsi="宋体" w:eastAsia="宋体"/>
          <w:b/>
          <w:kern w:val="0"/>
          <w:sz w:val="28"/>
          <w:szCs w:val="28"/>
          <w:lang w:val="en-US" w:eastAsia="zh-CN"/>
        </w:rPr>
      </w:pPr>
    </w:p>
    <w:p w14:paraId="444A7F17">
      <w:pPr>
        <w:jc w:val="center"/>
        <w:rPr>
          <w:rFonts w:hint="eastAsia" w:ascii="宋体" w:hAnsi="宋体" w:eastAsia="宋体" w:cs="宋体"/>
          <w:b w:val="0"/>
          <w:bCs w:val="0"/>
          <w:spacing w:val="0"/>
          <w:kern w:val="0"/>
          <w:sz w:val="28"/>
          <w:szCs w:val="28"/>
          <w:highlight w:val="none"/>
        </w:rPr>
      </w:pPr>
    </w:p>
    <w:p w14:paraId="0ACEA91B">
      <w:pPr>
        <w:rPr>
          <w:rFonts w:hint="eastAsia" w:ascii="宋体" w:hAnsi="宋体" w:eastAsia="宋体" w:cs="宋体"/>
          <w:b w:val="0"/>
          <w:bCs w:val="0"/>
          <w:spacing w:val="0"/>
          <w:kern w:val="0"/>
          <w:sz w:val="28"/>
          <w:szCs w:val="28"/>
          <w:highlight w:val="none"/>
        </w:rPr>
      </w:pPr>
      <w:r>
        <w:rPr>
          <w:rFonts w:hint="eastAsia" w:ascii="宋体" w:hAnsi="宋体" w:eastAsia="宋体" w:cs="宋体"/>
          <w:b w:val="0"/>
          <w:bCs w:val="0"/>
          <w:spacing w:val="0"/>
          <w:kern w:val="0"/>
          <w:sz w:val="28"/>
          <w:szCs w:val="28"/>
          <w:highlight w:val="none"/>
        </w:rPr>
        <w:br w:type="page"/>
      </w:r>
    </w:p>
    <w:p w14:paraId="72835773">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3.‌‌‌评标办法</w:t>
      </w:r>
      <w:bookmarkEnd w:id="0"/>
      <w:r>
        <w:rPr>
          <w:rFonts w:hint="eastAsia" w:ascii="仿宋" w:hAnsi="仿宋" w:eastAsia="仿宋" w:cs="仿宋"/>
          <w:b/>
          <w:kern w:val="0"/>
          <w:sz w:val="32"/>
          <w:szCs w:val="32"/>
          <w:lang w:val="en-US" w:eastAsia="zh-CN"/>
        </w:rPr>
        <w:t>（综合评估法）</w:t>
      </w:r>
    </w:p>
    <w:p w14:paraId="2CBCB407">
      <w:pPr>
        <w:rPr>
          <w:rFonts w:hint="default" w:eastAsia="华文中宋"/>
          <w:highlight w:val="none"/>
          <w:lang w:val="en-US" w:eastAsia="zh-CN"/>
        </w:rPr>
      </w:pPr>
      <w:r>
        <w:rPr>
          <w:rFonts w:hint="eastAsia" w:ascii="华文中宋" w:hAnsi="华文中宋" w:eastAsia="华文中宋" w:cs="华文中宋"/>
          <w:b w:val="0"/>
          <w:bCs/>
          <w:kern w:val="0"/>
          <w:sz w:val="32"/>
          <w:szCs w:val="32"/>
          <w:highlight w:val="none"/>
          <w:lang w:val="en-US" w:eastAsia="zh-CN"/>
        </w:rPr>
        <w:t>评标办法前附表</w:t>
      </w:r>
    </w:p>
    <w:tbl>
      <w:tblPr>
        <w:tblStyle w:val="9"/>
        <w:tblW w:w="9082"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 w:type="dxa"/>
          <w:bottom w:w="0" w:type="dxa"/>
          <w:right w:w="10" w:type="dxa"/>
        </w:tblCellMar>
      </w:tblPr>
      <w:tblGrid>
        <w:gridCol w:w="1037"/>
        <w:gridCol w:w="1785"/>
        <w:gridCol w:w="6260"/>
      </w:tblGrid>
      <w:tr w14:paraId="69BF02F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PrEx>
        <w:trPr>
          <w:trHeight w:val="486" w:hRule="atLeast"/>
          <w:tblHeader/>
        </w:trPr>
        <w:tc>
          <w:tcPr>
            <w:tcW w:w="2822" w:type="dxa"/>
            <w:gridSpan w:val="2"/>
            <w:shd w:val="clear" w:color="auto" w:fill="FFFFFF"/>
            <w:vAlign w:val="center"/>
          </w:tcPr>
          <w:p w14:paraId="6DD47BB5">
            <w:pPr>
              <w:pStyle w:val="13"/>
              <w:shd w:val="clear" w:color="auto" w:fill="auto"/>
              <w:spacing w:before="0" w:after="0" w:line="400" w:lineRule="exact"/>
              <w:rPr>
                <w:rFonts w:hint="eastAsia" w:ascii="仿宋" w:hAnsi="仿宋" w:eastAsia="仿宋" w:cs="仿宋"/>
                <w:iCs/>
                <w:sz w:val="21"/>
                <w:szCs w:val="21"/>
                <w:highlight w:val="none"/>
              </w:rPr>
            </w:pPr>
            <w:r>
              <w:rPr>
                <w:rStyle w:val="14"/>
                <w:rFonts w:hint="eastAsia" w:ascii="仿宋" w:hAnsi="仿宋" w:eastAsia="仿宋" w:cs="仿宋"/>
                <w:i w:val="0"/>
                <w:color w:val="auto"/>
                <w:spacing w:val="0"/>
                <w:sz w:val="21"/>
                <w:szCs w:val="21"/>
                <w:highlight w:val="none"/>
              </w:rPr>
              <w:t>条款号</w:t>
            </w:r>
          </w:p>
        </w:tc>
        <w:tc>
          <w:tcPr>
            <w:tcW w:w="6260" w:type="dxa"/>
            <w:tcBorders>
              <w:left w:val="single" w:color="auto" w:sz="4" w:space="0"/>
            </w:tcBorders>
            <w:shd w:val="clear" w:color="auto" w:fill="FFFFFF"/>
            <w:vAlign w:val="center"/>
          </w:tcPr>
          <w:p w14:paraId="0B6B62FF">
            <w:pPr>
              <w:pStyle w:val="13"/>
              <w:shd w:val="clear" w:color="auto" w:fill="auto"/>
              <w:spacing w:before="0" w:after="0" w:line="400" w:lineRule="exact"/>
              <w:rPr>
                <w:rFonts w:hint="eastAsia" w:ascii="仿宋" w:hAnsi="仿宋" w:eastAsia="仿宋" w:cs="仿宋"/>
                <w:iCs/>
                <w:sz w:val="21"/>
                <w:szCs w:val="21"/>
                <w:highlight w:val="none"/>
              </w:rPr>
            </w:pPr>
            <w:r>
              <w:rPr>
                <w:rStyle w:val="14"/>
                <w:rFonts w:hint="eastAsia" w:ascii="仿宋" w:hAnsi="仿宋" w:eastAsia="仿宋" w:cs="仿宋"/>
                <w:i w:val="0"/>
                <w:color w:val="auto"/>
                <w:spacing w:val="0"/>
                <w:sz w:val="21"/>
                <w:szCs w:val="21"/>
                <w:highlight w:val="none"/>
              </w:rPr>
              <w:t>评审因素与评审标准</w:t>
            </w:r>
          </w:p>
        </w:tc>
      </w:tr>
      <w:tr w14:paraId="28D1DBC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21" w:hRule="atLeast"/>
        </w:trPr>
        <w:tc>
          <w:tcPr>
            <w:tcW w:w="1037" w:type="dxa"/>
            <w:tcBorders>
              <w:top w:val="single" w:color="auto" w:sz="4" w:space="0"/>
              <w:bottom w:val="single" w:color="auto" w:sz="4" w:space="0"/>
            </w:tcBorders>
            <w:shd w:val="clear" w:color="auto" w:fill="FFFFFF"/>
            <w:vAlign w:val="center"/>
          </w:tcPr>
          <w:p w14:paraId="4535CADC">
            <w:pPr>
              <w:pStyle w:val="13"/>
              <w:shd w:val="clear" w:color="auto" w:fill="auto"/>
              <w:spacing w:before="0" w:after="0" w:line="360" w:lineRule="exact"/>
              <w:rPr>
                <w:rFonts w:hint="eastAsia" w:ascii="仿宋" w:hAnsi="仿宋" w:eastAsia="仿宋" w:cs="仿宋"/>
                <w:iCs/>
                <w:sz w:val="21"/>
                <w:szCs w:val="21"/>
                <w:highlight w:val="none"/>
              </w:rPr>
            </w:pPr>
            <w:r>
              <w:rPr>
                <w:rStyle w:val="14"/>
                <w:rFonts w:hint="eastAsia" w:ascii="仿宋" w:hAnsi="仿宋" w:eastAsia="仿宋" w:cs="仿宋"/>
                <w:i w:val="0"/>
                <w:color w:val="auto"/>
                <w:spacing w:val="0"/>
                <w:sz w:val="21"/>
                <w:szCs w:val="21"/>
                <w:highlight w:val="none"/>
                <w:lang w:val="zh-TW"/>
              </w:rPr>
              <w:t>1</w:t>
            </w:r>
          </w:p>
        </w:tc>
        <w:tc>
          <w:tcPr>
            <w:tcW w:w="1785" w:type="dxa"/>
            <w:tcBorders>
              <w:top w:val="single" w:color="auto" w:sz="4" w:space="0"/>
              <w:left w:val="single" w:color="auto" w:sz="4" w:space="0"/>
              <w:bottom w:val="single" w:color="auto" w:sz="4" w:space="0"/>
            </w:tcBorders>
            <w:shd w:val="clear" w:color="auto" w:fill="FFFFFF"/>
            <w:vAlign w:val="center"/>
          </w:tcPr>
          <w:p w14:paraId="684B99D0">
            <w:pPr>
              <w:pStyle w:val="13"/>
              <w:shd w:val="clear" w:color="auto" w:fill="auto"/>
              <w:spacing w:before="0" w:after="0" w:line="360" w:lineRule="exact"/>
              <w:rPr>
                <w:rFonts w:hint="eastAsia" w:ascii="仿宋" w:hAnsi="仿宋" w:eastAsia="仿宋" w:cs="仿宋"/>
                <w:iCs/>
                <w:sz w:val="21"/>
                <w:szCs w:val="21"/>
                <w:highlight w:val="none"/>
              </w:rPr>
            </w:pPr>
            <w:r>
              <w:rPr>
                <w:rStyle w:val="14"/>
                <w:rFonts w:hint="eastAsia" w:ascii="仿宋" w:hAnsi="仿宋" w:eastAsia="仿宋" w:cs="仿宋"/>
                <w:i w:val="0"/>
                <w:color w:val="auto"/>
                <w:spacing w:val="0"/>
                <w:sz w:val="21"/>
                <w:szCs w:val="21"/>
                <w:highlight w:val="none"/>
              </w:rPr>
              <w:t>评标</w:t>
            </w:r>
            <w:r>
              <w:rPr>
                <w:rStyle w:val="14"/>
                <w:rFonts w:hint="eastAsia" w:ascii="仿宋" w:hAnsi="仿宋" w:eastAsia="仿宋" w:cs="仿宋"/>
                <w:i w:val="0"/>
                <w:color w:val="auto"/>
                <w:spacing w:val="0"/>
                <w:sz w:val="21"/>
                <w:szCs w:val="21"/>
                <w:highlight w:val="none"/>
                <w:lang w:val="zh-TW"/>
              </w:rPr>
              <w:t>方法</w:t>
            </w:r>
          </w:p>
        </w:tc>
        <w:tc>
          <w:tcPr>
            <w:tcW w:w="6260" w:type="dxa"/>
            <w:tcBorders>
              <w:top w:val="single" w:color="auto" w:sz="4" w:space="0"/>
              <w:left w:val="single" w:color="auto" w:sz="4" w:space="0"/>
              <w:bottom w:val="single" w:color="auto" w:sz="4" w:space="0"/>
            </w:tcBorders>
            <w:shd w:val="clear" w:color="auto" w:fill="FFFFFF"/>
            <w:vAlign w:val="center"/>
          </w:tcPr>
          <w:p w14:paraId="16826C1B">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rPr>
            </w:pPr>
            <w:r>
              <w:rPr>
                <w:rFonts w:hint="eastAsia" w:ascii="仿宋" w:hAnsi="仿宋" w:eastAsia="仿宋" w:cs="仿宋"/>
                <w:iCs/>
                <w:sz w:val="21"/>
                <w:szCs w:val="21"/>
                <w:highlight w:val="none"/>
              </w:rPr>
              <w:t>评标委员会对满足招标文件实质性要求的投标文件，按招标文件规定的评分标准进行打分，并按得分由高到低顺序推荐中标候选人，但投标报价低于其成本的除外</w:t>
            </w:r>
            <w:r>
              <w:rPr>
                <w:rFonts w:hint="eastAsia" w:ascii="仿宋" w:hAnsi="仿宋" w:eastAsia="仿宋" w:cs="仿宋"/>
                <w:iCs/>
                <w:sz w:val="21"/>
                <w:szCs w:val="21"/>
                <w:highlight w:val="none"/>
                <w:lang w:eastAsia="zh-CN"/>
              </w:rPr>
              <w:t>。</w:t>
            </w:r>
            <w:r>
              <w:rPr>
                <w:rFonts w:hint="eastAsia" w:ascii="仿宋" w:hAnsi="仿宋" w:eastAsia="仿宋" w:cs="仿宋"/>
                <w:iCs/>
                <w:sz w:val="21"/>
                <w:szCs w:val="21"/>
                <w:highlight w:val="none"/>
              </w:rPr>
              <w:t>综合得分相等时，评标委员会依次按以下优先顺序推荐中标候选人</w:t>
            </w:r>
            <w:r>
              <w:rPr>
                <w:rFonts w:hint="eastAsia" w:ascii="仿宋" w:hAnsi="仿宋" w:eastAsia="仿宋" w:cs="仿宋"/>
                <w:iCs/>
                <w:sz w:val="21"/>
                <w:szCs w:val="21"/>
                <w:highlight w:val="none"/>
                <w:lang w:val="en-US" w:eastAsia="zh-CN"/>
              </w:rPr>
              <w:t>或确定中标人</w:t>
            </w:r>
            <w:r>
              <w:rPr>
                <w:rFonts w:hint="eastAsia" w:ascii="仿宋" w:hAnsi="仿宋" w:eastAsia="仿宋" w:cs="仿宋"/>
                <w:iCs/>
                <w:sz w:val="21"/>
                <w:szCs w:val="21"/>
                <w:highlight w:val="none"/>
              </w:rPr>
              <w:t>：</w:t>
            </w:r>
          </w:p>
          <w:p w14:paraId="6D11637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（1）评标价低的投标人优先；</w:t>
            </w:r>
          </w:p>
          <w:p w14:paraId="6E7C6737">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（2）根据陕西省交通运输厅《关于陕西省 2024 年度公路建</w:t>
            </w:r>
          </w:p>
          <w:p w14:paraId="754C82EF">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设市场从业企业信用评价结果应用的通知》（陕交函〔2025〕639号），评为较高信用等级的投标人优先；</w:t>
            </w:r>
          </w:p>
          <w:p w14:paraId="58B379D0">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（3）技术建议书得分较高的投标人优先。</w:t>
            </w:r>
          </w:p>
        </w:tc>
      </w:tr>
      <w:tr w14:paraId="045A91B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90" w:hRule="atLeast"/>
        </w:trPr>
        <w:tc>
          <w:tcPr>
            <w:tcW w:w="1037" w:type="dxa"/>
            <w:tcBorders>
              <w:top w:val="single" w:color="auto" w:sz="4" w:space="0"/>
              <w:bottom w:val="single" w:color="auto" w:sz="4" w:space="0"/>
            </w:tcBorders>
            <w:shd w:val="clear" w:color="auto" w:fill="FFFFFF"/>
            <w:vAlign w:val="center"/>
          </w:tcPr>
          <w:p w14:paraId="71E2A10E">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CCFEF27">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2CC6C2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E523316">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769729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DB9A14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6C617B0">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3E1B8D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6A0C188">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0F6C17A">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1B239CEF">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B75B40D">
            <w:pPr>
              <w:pStyle w:val="13"/>
              <w:shd w:val="clear" w:color="auto" w:fill="auto"/>
              <w:spacing w:before="0" w:after="0" w:line="360" w:lineRule="exact"/>
              <w:rPr>
                <w:rFonts w:hint="eastAsia" w:ascii="仿宋" w:hAnsi="仿宋" w:eastAsia="仿宋" w:cs="仿宋"/>
                <w:iCs/>
                <w:sz w:val="21"/>
                <w:szCs w:val="21"/>
                <w:highlight w:val="none"/>
              </w:rPr>
            </w:pPr>
            <w:r>
              <w:rPr>
                <w:rStyle w:val="14"/>
                <w:rFonts w:hint="eastAsia" w:ascii="仿宋" w:hAnsi="仿宋" w:eastAsia="仿宋" w:cs="仿宋"/>
                <w:i w:val="0"/>
                <w:color w:val="auto"/>
                <w:spacing w:val="0"/>
                <w:sz w:val="21"/>
                <w:szCs w:val="21"/>
                <w:highlight w:val="none"/>
              </w:rPr>
              <w:t>2.1.1</w:t>
            </w:r>
          </w:p>
          <w:p w14:paraId="2E0DD12E">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r>
              <w:rPr>
                <w:rStyle w:val="14"/>
                <w:rFonts w:hint="eastAsia" w:ascii="仿宋" w:hAnsi="仿宋" w:eastAsia="仿宋" w:cs="仿宋"/>
                <w:i w:val="0"/>
                <w:color w:val="auto"/>
                <w:spacing w:val="0"/>
                <w:sz w:val="21"/>
                <w:szCs w:val="21"/>
                <w:highlight w:val="none"/>
              </w:rPr>
              <w:t>2.1.3</w:t>
            </w:r>
          </w:p>
          <w:p w14:paraId="7E995AD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C3359F2">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AF4FDFF">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0EFF06E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812B501">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2E9C15B4">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D32904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F6A285D">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9C415DB">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7B17857">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BE7918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14DDD420">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26AD6D4">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70CC074">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1014297">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00A27FB">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28FA726D">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1E8BE7A">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14409F76">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E9824EE">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459FC6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BE21FCB">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6D7BF9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F99140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F1BF31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2C691C3">
            <w:pPr>
              <w:pStyle w:val="13"/>
              <w:shd w:val="clear" w:color="auto" w:fill="auto"/>
              <w:spacing w:before="0" w:after="0" w:line="360" w:lineRule="exact"/>
              <w:rPr>
                <w:rFonts w:hint="eastAsia" w:ascii="仿宋" w:hAnsi="仿宋" w:eastAsia="仿宋" w:cs="仿宋"/>
                <w:iCs/>
                <w:sz w:val="21"/>
                <w:szCs w:val="21"/>
                <w:highlight w:val="none"/>
              </w:rPr>
            </w:pPr>
            <w:r>
              <w:rPr>
                <w:rStyle w:val="14"/>
                <w:rFonts w:hint="eastAsia" w:ascii="仿宋" w:hAnsi="仿宋" w:eastAsia="仿宋" w:cs="仿宋"/>
                <w:i w:val="0"/>
                <w:color w:val="auto"/>
                <w:spacing w:val="0"/>
                <w:sz w:val="21"/>
                <w:szCs w:val="21"/>
                <w:highlight w:val="none"/>
              </w:rPr>
              <w:t>2.1.1</w:t>
            </w:r>
          </w:p>
          <w:p w14:paraId="09FE9224">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r>
              <w:rPr>
                <w:rStyle w:val="14"/>
                <w:rFonts w:hint="eastAsia" w:ascii="仿宋" w:hAnsi="仿宋" w:eastAsia="仿宋" w:cs="仿宋"/>
                <w:i w:val="0"/>
                <w:color w:val="auto"/>
                <w:spacing w:val="0"/>
                <w:sz w:val="21"/>
                <w:szCs w:val="21"/>
                <w:highlight w:val="none"/>
              </w:rPr>
              <w:t>2.1.3</w:t>
            </w:r>
          </w:p>
          <w:p w14:paraId="5A35104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9ABB2A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zh-TW" w:eastAsia="zh-CN"/>
              </w:rPr>
            </w:pPr>
          </w:p>
        </w:tc>
        <w:tc>
          <w:tcPr>
            <w:tcW w:w="1785" w:type="dxa"/>
            <w:tcBorders>
              <w:top w:val="single" w:color="auto" w:sz="4" w:space="0"/>
              <w:left w:val="single" w:color="auto" w:sz="4" w:space="0"/>
              <w:bottom w:val="single" w:color="auto" w:sz="4" w:space="0"/>
            </w:tcBorders>
            <w:shd w:val="clear" w:color="auto" w:fill="FFFFFF"/>
            <w:vAlign w:val="center"/>
          </w:tcPr>
          <w:p w14:paraId="6F611362">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E17260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FF21FD0">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2519156">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8991FB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76149B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0EED9F0">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1852A8E">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5BFE0B4">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0C5EDEB7">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68F901F">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06A24915">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r>
              <w:rPr>
                <w:rStyle w:val="14"/>
                <w:rFonts w:hint="eastAsia" w:ascii="仿宋" w:hAnsi="仿宋" w:eastAsia="仿宋" w:cs="仿宋"/>
                <w:i w:val="0"/>
                <w:color w:val="auto"/>
                <w:spacing w:val="0"/>
                <w:sz w:val="21"/>
                <w:szCs w:val="21"/>
                <w:highlight w:val="none"/>
              </w:rPr>
              <w:t>形式评审与</w:t>
            </w:r>
          </w:p>
          <w:p w14:paraId="133AA5B2">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r>
              <w:rPr>
                <w:rStyle w:val="14"/>
                <w:rFonts w:hint="eastAsia" w:ascii="仿宋" w:hAnsi="仿宋" w:eastAsia="仿宋" w:cs="仿宋"/>
                <w:i w:val="0"/>
                <w:color w:val="auto"/>
                <w:spacing w:val="0"/>
                <w:sz w:val="21"/>
                <w:szCs w:val="21"/>
                <w:highlight w:val="none"/>
              </w:rPr>
              <w:t>响应性评审标准</w:t>
            </w:r>
          </w:p>
          <w:p w14:paraId="7EE022C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F81C2B3">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A66E18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0E786CED">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2A00E26E">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946C256">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EB0F0A0">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E1F4612">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CE0D6AF">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176A7FF">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B206086">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6BEB7FB4">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0CB939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B2DD1A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097F6488">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FA3007B">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59DE5095">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ED808DB">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A4F6D99">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011826C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14E4D42">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5B5D9B6">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3651696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7B0BC69A">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33F8FEC">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p>
          <w:p w14:paraId="483D6FA8">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r>
              <w:rPr>
                <w:rStyle w:val="14"/>
                <w:rFonts w:hint="eastAsia" w:ascii="仿宋" w:hAnsi="仿宋" w:eastAsia="仿宋" w:cs="仿宋"/>
                <w:i w:val="0"/>
                <w:color w:val="auto"/>
                <w:spacing w:val="0"/>
                <w:sz w:val="21"/>
                <w:szCs w:val="21"/>
                <w:highlight w:val="none"/>
              </w:rPr>
              <w:t>形式评审与</w:t>
            </w:r>
          </w:p>
          <w:p w14:paraId="4516E26A">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rPr>
              <w:t>响应性评审标准</w:t>
            </w:r>
          </w:p>
        </w:tc>
        <w:tc>
          <w:tcPr>
            <w:tcW w:w="6260" w:type="dxa"/>
            <w:tcBorders>
              <w:top w:val="single" w:color="auto" w:sz="4" w:space="0"/>
              <w:left w:val="single" w:color="auto" w:sz="4" w:space="0"/>
              <w:bottom w:val="single" w:color="auto" w:sz="4" w:space="0"/>
            </w:tcBorders>
            <w:shd w:val="clear" w:color="auto" w:fill="FFFFFF"/>
            <w:vAlign w:val="center"/>
          </w:tcPr>
          <w:p w14:paraId="1E419BC2">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第一个信封（商务及技术文件）评审标准：</w:t>
            </w:r>
          </w:p>
          <w:p w14:paraId="01F0D0C7">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（1）投标文件按照招标文件规定的格式、内容填写，字迹清晰 可辨：</w:t>
            </w:r>
          </w:p>
          <w:p w14:paraId="70DDC3BC">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a.投标函按招标文件规定填报了项目名称、标段号、补遗书编 号（如有)、服务期限、质量要求及安全目标；</w:t>
            </w:r>
          </w:p>
          <w:p w14:paraId="7903B703">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b.投标文件组成齐全完整，提供的相关资料符合招标文件规 定， 内容均按规定填写。</w:t>
            </w:r>
          </w:p>
          <w:p w14:paraId="2454CC59">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（2）投标文件上法定代表人或其委托代理人的签字、投标人的 单位章盖章齐全，符合招标文件规定。</w:t>
            </w:r>
          </w:p>
          <w:p w14:paraId="4A0B8C84">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（3）投标人按照招标文件的规定提供了投标保证金：</w:t>
            </w:r>
          </w:p>
          <w:p w14:paraId="4B93A6DB">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a.投标保证金金额符合招标文件规定的金额，且投标保证金有 效期不少于投标有效期；</w:t>
            </w:r>
          </w:p>
          <w:p w14:paraId="35BAF7B8">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b.若投标保证金采用现金或支票形式提交，投标人应在递交投 标文件截止时间之前，将投标保证金由投标人的基本账户转入招标 人指定账户；</w:t>
            </w:r>
          </w:p>
          <w:p w14:paraId="23B2CC7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c.若投标保证金采用银行保函形式提交，银行保函的格式、开 具保函的银行均满足招标文件要求，且在递交投标文件截止时间之 前向招标人提交了银行保函原件。</w:t>
            </w:r>
          </w:p>
          <w:p w14:paraId="0ED1843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（4）投标人法定代表人授权委托代理人签署投标文件的，须提 交授权委托书，且授权人和被授权人均在授权委托书上签名，未使 用印章、签名章或其他电子制版签名代替。</w:t>
            </w:r>
          </w:p>
          <w:p w14:paraId="37C1FF3A">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（5）投标人法定代表人亲自签署投标文件的，提供了法定代 表人身份证明，且法定代表人在法定代表人身份证明上签名，未使用印章、签名章或其他电子制版签名代替。</w:t>
            </w:r>
          </w:p>
          <w:p w14:paraId="56518323">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（6）投标人以联合体投标时，联合体满足招标文件的要求： a.投标人按照招标文件提供的格式签订了联合体协议书，明确各方承担连带责任 ，并明确了联合体牵头人，且联合体的组成符合招标文件规定； b.联合体各方分别按照招标文件要求，填写投标文件中的相应表格</w:t>
            </w:r>
          </w:p>
          <w:p w14:paraId="2BF31C44">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（7）同一投标人未提交两个以上不同的投标文件，但招标文件要求提交备选投标的除外。</w:t>
            </w:r>
          </w:p>
          <w:p w14:paraId="743D1A73">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（8）投标文件中未出现有关投标报价的内容。</w:t>
            </w:r>
          </w:p>
          <w:p w14:paraId="0A27E93F">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（9）投标文件载明的招标项目完成期限未超过招标文件规定 的时限。</w:t>
            </w:r>
          </w:p>
          <w:p w14:paraId="26A66296">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 xml:space="preserve">（10）投标文件对招标文件的实质性要求和条件作出响应。 </w:t>
            </w:r>
          </w:p>
          <w:p w14:paraId="56DCF28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（11）权利义务符合招标文件规定：</w:t>
            </w:r>
          </w:p>
          <w:p w14:paraId="5125A729">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a.投标人应接受招标文件规定的风险划分原则，未提出新的风 险划分办法；</w:t>
            </w:r>
          </w:p>
          <w:p w14:paraId="45AC3EA7">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 xml:space="preserve">b.投标人未增加发包人的责任范围，或减少投标人义务； </w:t>
            </w:r>
          </w:p>
          <w:p w14:paraId="5F9707CC">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c.投标人未提出不同的支付办法；</w:t>
            </w:r>
          </w:p>
          <w:p w14:paraId="63E0D76C">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d.投标人对合同纠纷、事故处理办法未提出异议； e.投标人在投标活动中无欺诈行为；</w:t>
            </w:r>
          </w:p>
          <w:p w14:paraId="7613C967">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f.投标人未对合同条款有重要保留。</w:t>
            </w:r>
          </w:p>
          <w:p w14:paraId="1C488066">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（12）投标文件正本份数符合招标文件第二章“投标人须知”第3.7.4项规定（若采用纸质文件评标）。</w:t>
            </w:r>
          </w:p>
          <w:p w14:paraId="24DC0B3B">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（13）投标文件封套、投标函标明的标段、单位名称及内容一致（若采用纸质文件评标）。</w:t>
            </w:r>
          </w:p>
          <w:p w14:paraId="68F0F25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（14）不同投标人的投标文件未相互混装（若采用纸质文件评标）。</w:t>
            </w:r>
          </w:p>
          <w:p w14:paraId="365DBC8E">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第二个信封（报价文件）评审标准：</w:t>
            </w:r>
          </w:p>
          <w:p w14:paraId="7FA9E2CB">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（1）投标文件按照招标文件规定的格式、内容填写，字迹清晰可辨，内容齐全完整：</w:t>
            </w:r>
          </w:p>
          <w:p w14:paraId="671FDA93">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a.投标函按招标文件规定填报了项目名称、标段号、补遗书编号（如 有)、投标价（包括大写金额和小写金额)；</w:t>
            </w:r>
          </w:p>
          <w:p w14:paraId="27D82AD3">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b.已标价报价清单说明文字与招标文件规定一致，未进行实质性修改和删减；</w:t>
            </w:r>
          </w:p>
          <w:p w14:paraId="18CB73E8">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c.投标文件组成齐全完整，提供的相关资料符合招标文件规 定， 内容均按规定填写 ；</w:t>
            </w:r>
          </w:p>
          <w:p w14:paraId="795169C8">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d.不同投标人的投标文件未互相混装 ；</w:t>
            </w:r>
          </w:p>
          <w:p w14:paraId="7DFBA5AA">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e.各层套封、投标函注明标段号一致 ；</w:t>
            </w:r>
          </w:p>
          <w:p w14:paraId="3D74D2FE">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f.外层封套标注的信息与内装文件一致。</w:t>
            </w:r>
          </w:p>
          <w:p w14:paraId="2B58F445">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（2）投标文件上法定代表人或其委托代理人的签字、投标人的单位章盖章齐全，符合招标文件规定。</w:t>
            </w:r>
          </w:p>
          <w:p w14:paraId="3B041598">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 xml:space="preserve">（3）投标报价未超过招标文件设定的最高投标限价。 </w:t>
            </w:r>
          </w:p>
          <w:p w14:paraId="0BEC4BF3">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（4）投标报价的大写金额能够确定具体数值。</w:t>
            </w:r>
          </w:p>
          <w:p w14:paraId="2DDFA10C">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（5）同一投标人未提交两个以上不同的投标报价。</w:t>
            </w:r>
          </w:p>
          <w:p w14:paraId="5571A1DB">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（6）投标文件正本份数符合招标文件第二章“投标人须知”第3.7.4项规定（若采用纸质文件评标）。</w:t>
            </w:r>
          </w:p>
          <w:p w14:paraId="04E203E9">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（7）投标文件封套、投标函标明的标段号、单位名称及内容一致（若采用纸质文件评标）。</w:t>
            </w:r>
          </w:p>
          <w:p w14:paraId="07D06304">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（8）不同投标人的投标文件未相互混装（若采用纸质文件评标）。</w:t>
            </w:r>
          </w:p>
        </w:tc>
      </w:tr>
      <w:tr w14:paraId="51D5782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3197" w:hRule="atLeast"/>
        </w:trPr>
        <w:tc>
          <w:tcPr>
            <w:tcW w:w="1037" w:type="dxa"/>
            <w:tcBorders>
              <w:top w:val="single" w:color="auto" w:sz="4" w:space="0"/>
              <w:bottom w:val="single" w:color="auto" w:sz="4" w:space="0"/>
            </w:tcBorders>
            <w:shd w:val="clear" w:color="auto" w:fill="FFFFFF"/>
            <w:vAlign w:val="center"/>
          </w:tcPr>
          <w:p w14:paraId="0BD42C87">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2.1.2</w:t>
            </w:r>
          </w:p>
        </w:tc>
        <w:tc>
          <w:tcPr>
            <w:tcW w:w="1785" w:type="dxa"/>
            <w:tcBorders>
              <w:top w:val="single" w:color="auto" w:sz="4" w:space="0"/>
              <w:left w:val="single" w:color="auto" w:sz="4" w:space="0"/>
              <w:bottom w:val="single" w:color="auto" w:sz="4" w:space="0"/>
            </w:tcBorders>
            <w:shd w:val="clear" w:color="auto" w:fill="FFFFFF"/>
            <w:vAlign w:val="center"/>
          </w:tcPr>
          <w:p w14:paraId="549E62FD">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rPr>
            </w:pPr>
            <w:r>
              <w:rPr>
                <w:rStyle w:val="14"/>
                <w:rFonts w:hint="eastAsia" w:ascii="仿宋" w:hAnsi="仿宋" w:eastAsia="仿宋" w:cs="仿宋"/>
                <w:i w:val="0"/>
                <w:color w:val="auto"/>
                <w:spacing w:val="0"/>
                <w:sz w:val="21"/>
                <w:szCs w:val="21"/>
                <w:highlight w:val="none"/>
                <w:lang w:val="en-US" w:eastAsia="zh-CN"/>
              </w:rPr>
              <w:t>资格评审标准</w:t>
            </w:r>
          </w:p>
        </w:tc>
        <w:tc>
          <w:tcPr>
            <w:tcW w:w="6260" w:type="dxa"/>
            <w:tcBorders>
              <w:top w:val="single" w:color="auto" w:sz="4" w:space="0"/>
              <w:left w:val="single" w:color="auto" w:sz="4" w:space="0"/>
              <w:bottom w:val="single" w:color="auto" w:sz="4" w:space="0"/>
            </w:tcBorders>
            <w:shd w:val="clear" w:color="auto" w:fill="FFFFFF"/>
            <w:vAlign w:val="center"/>
          </w:tcPr>
          <w:p w14:paraId="4337FED9">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（1）投标人具备有效的营业执照、组织机构代码证、勘察资质证书（如有）、设计资质证书（如有）和基本账户开户许可证（或基本存款账户信息单）。</w:t>
            </w:r>
          </w:p>
          <w:p w14:paraId="38020E1E">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（2）投标人的资质等级符合招标文件规定。</w:t>
            </w:r>
          </w:p>
          <w:p w14:paraId="22E74B68">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（3）投标人的类似项目业绩符合招标文件规定。</w:t>
            </w:r>
          </w:p>
          <w:p w14:paraId="7DA7E52E">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（4）投标人的信誉符合招标文件规定。</w:t>
            </w:r>
          </w:p>
          <w:p w14:paraId="08E76CD2">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（5）投标人的项目负责人资格符合招标文件规定。</w:t>
            </w:r>
          </w:p>
          <w:p w14:paraId="07B6EFF8">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（6）投标人的其他要求符合招标文件规定。</w:t>
            </w:r>
          </w:p>
          <w:p w14:paraId="6FE3A5E1">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（7）投标人不存在第二章“ 投标人须知”第 1.4.3 项或第 1.4.4 项规定的任何一种情形。</w:t>
            </w:r>
          </w:p>
          <w:p w14:paraId="64F5A7FC">
            <w:pPr>
              <w:pStyle w:val="13"/>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（8）投标人符合第二章“投标人须知”第 1.4.5 项规定。</w:t>
            </w:r>
          </w:p>
        </w:tc>
      </w:tr>
      <w:tr w14:paraId="6791E85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3642" w:hRule="atLeast"/>
        </w:trPr>
        <w:tc>
          <w:tcPr>
            <w:tcW w:w="1037" w:type="dxa"/>
            <w:tcBorders>
              <w:top w:val="single" w:color="auto" w:sz="4" w:space="0"/>
              <w:bottom w:val="single" w:color="auto" w:sz="4" w:space="0"/>
            </w:tcBorders>
            <w:shd w:val="clear" w:color="auto" w:fill="FFFFFF"/>
            <w:vAlign w:val="center"/>
          </w:tcPr>
          <w:p w14:paraId="41AC7590">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2.2.1</w:t>
            </w:r>
          </w:p>
        </w:tc>
        <w:tc>
          <w:tcPr>
            <w:tcW w:w="1785" w:type="dxa"/>
            <w:tcBorders>
              <w:top w:val="single" w:color="auto" w:sz="4" w:space="0"/>
              <w:left w:val="single" w:color="auto" w:sz="4" w:space="0"/>
              <w:bottom w:val="single" w:color="auto" w:sz="4" w:space="0"/>
            </w:tcBorders>
            <w:shd w:val="clear" w:color="auto" w:fill="FFFFFF"/>
            <w:vAlign w:val="center"/>
          </w:tcPr>
          <w:p w14:paraId="506666D7">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 xml:space="preserve">分值构成 </w:t>
            </w:r>
          </w:p>
          <w:p w14:paraId="54460E25">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（总分 100 分）</w:t>
            </w:r>
          </w:p>
        </w:tc>
        <w:tc>
          <w:tcPr>
            <w:tcW w:w="6260" w:type="dxa"/>
            <w:tcBorders>
              <w:top w:val="single" w:color="auto" w:sz="4" w:space="0"/>
              <w:left w:val="single" w:color="auto" w:sz="4" w:space="0"/>
              <w:bottom w:val="single" w:color="auto" w:sz="4" w:space="0"/>
            </w:tcBorders>
            <w:shd w:val="clear" w:color="auto" w:fill="FFFFFF"/>
            <w:vAlign w:val="center"/>
          </w:tcPr>
          <w:p w14:paraId="3709C09C">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（1）第一个信封（商务及技术文件）评分分值构成</w:t>
            </w:r>
          </w:p>
          <w:p w14:paraId="3797B46F">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①技术建议书：45分</w:t>
            </w:r>
          </w:p>
          <w:p w14:paraId="2D852117">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②主要人员：20分</w:t>
            </w:r>
          </w:p>
          <w:p w14:paraId="25052528">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③业绩：20分</w:t>
            </w:r>
          </w:p>
          <w:p w14:paraId="2643270B">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④履约信誉：5分</w:t>
            </w:r>
          </w:p>
          <w:p w14:paraId="3274E273">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投标人的商务和技术得分为上述四项得分之和</w:t>
            </w:r>
          </w:p>
          <w:p w14:paraId="4BE31B04">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（2）第二个信封（报价文件）评分分值构成</w:t>
            </w:r>
          </w:p>
          <w:p w14:paraId="13D56283">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⑤评标价：10分</w:t>
            </w:r>
          </w:p>
          <w:p w14:paraId="73895BAB">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（3）综合得分</w:t>
            </w:r>
          </w:p>
          <w:p w14:paraId="5FCFC489">
            <w:pPr>
              <w:pStyle w:val="13"/>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综合得分=投标人的商务和技术得分+评标价得分</w:t>
            </w:r>
          </w:p>
        </w:tc>
      </w:tr>
      <w:tr w14:paraId="6175F4A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384" w:hRule="atLeast"/>
        </w:trPr>
        <w:tc>
          <w:tcPr>
            <w:tcW w:w="1037" w:type="dxa"/>
            <w:tcBorders>
              <w:top w:val="single" w:color="auto" w:sz="4" w:space="0"/>
              <w:bottom w:val="single" w:color="auto" w:sz="4" w:space="0"/>
            </w:tcBorders>
            <w:shd w:val="clear" w:color="auto" w:fill="FFFFFF"/>
            <w:vAlign w:val="center"/>
          </w:tcPr>
          <w:p w14:paraId="1CC5EB0B">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2.2.2</w:t>
            </w:r>
          </w:p>
        </w:tc>
        <w:tc>
          <w:tcPr>
            <w:tcW w:w="1785" w:type="dxa"/>
            <w:tcBorders>
              <w:top w:val="single" w:color="auto" w:sz="4" w:space="0"/>
              <w:left w:val="single" w:color="auto" w:sz="4" w:space="0"/>
              <w:bottom w:val="single" w:color="auto" w:sz="4" w:space="0"/>
            </w:tcBorders>
            <w:shd w:val="clear" w:color="auto" w:fill="FFFFFF"/>
            <w:vAlign w:val="center"/>
          </w:tcPr>
          <w:p w14:paraId="43F7B94F">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评标基准价</w:t>
            </w:r>
          </w:p>
          <w:p w14:paraId="31461ABE">
            <w:pPr>
              <w:pStyle w:val="13"/>
              <w:shd w:val="clear" w:color="auto" w:fill="auto"/>
              <w:spacing w:before="0" w:after="0" w:line="360" w:lineRule="exact"/>
              <w:rPr>
                <w:rStyle w:val="14"/>
                <w:rFonts w:hint="eastAsia" w:ascii="仿宋" w:hAnsi="仿宋" w:eastAsia="仿宋" w:cs="仿宋"/>
                <w:i w:val="0"/>
                <w:color w:val="auto"/>
                <w:spacing w:val="0"/>
                <w:sz w:val="21"/>
                <w:szCs w:val="21"/>
                <w:highlight w:val="none"/>
                <w:lang w:val="en-US" w:eastAsia="zh-CN"/>
              </w:rPr>
            </w:pPr>
            <w:r>
              <w:rPr>
                <w:rStyle w:val="14"/>
                <w:rFonts w:hint="eastAsia" w:ascii="仿宋" w:hAnsi="仿宋" w:eastAsia="仿宋" w:cs="仿宋"/>
                <w:i w:val="0"/>
                <w:color w:val="auto"/>
                <w:spacing w:val="0"/>
                <w:sz w:val="21"/>
                <w:szCs w:val="21"/>
                <w:highlight w:val="none"/>
                <w:lang w:val="en-US" w:eastAsia="zh-CN"/>
              </w:rPr>
              <w:t>计算方法</w:t>
            </w:r>
          </w:p>
        </w:tc>
        <w:tc>
          <w:tcPr>
            <w:tcW w:w="6260" w:type="dxa"/>
            <w:tcBorders>
              <w:top w:val="single" w:color="auto" w:sz="4" w:space="0"/>
              <w:left w:val="single" w:color="auto" w:sz="4" w:space="0"/>
              <w:bottom w:val="single" w:color="auto" w:sz="4" w:space="0"/>
            </w:tcBorders>
            <w:shd w:val="clear" w:color="auto" w:fill="FFFFFF"/>
            <w:vAlign w:val="center"/>
          </w:tcPr>
          <w:p w14:paraId="5D66AEA8">
            <w:pPr>
              <w:pStyle w:val="13"/>
              <w:numPr>
                <w:ilvl w:val="0"/>
                <w:numId w:val="2"/>
              </w:numPr>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评标价的确定：评标价=投标函文字报价</w:t>
            </w:r>
          </w:p>
          <w:p w14:paraId="4C9A83E6">
            <w:pPr>
              <w:pStyle w:val="13"/>
              <w:numPr>
                <w:ilvl w:val="0"/>
                <w:numId w:val="2"/>
              </w:numPr>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有效评标价：除在开标现场被宣布为不进入评标基准价计算的投标报价之外，剩余所有投标人的评标价均为有效评标价。</w:t>
            </w:r>
          </w:p>
          <w:p w14:paraId="7D726B93">
            <w:pPr>
              <w:pStyle w:val="13"/>
              <w:numPr>
                <w:ilvl w:val="0"/>
                <w:numId w:val="2"/>
              </w:numPr>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评标基准价的确定：</w:t>
            </w:r>
          </w:p>
          <w:p w14:paraId="2277E013">
            <w:pPr>
              <w:pStyle w:val="13"/>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有效评标价去掉n1个最高评标价和n2个最低评标价后平均值直接作为评标基准价P。</w:t>
            </w:r>
          </w:p>
          <w:p w14:paraId="479931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object>
                <v:shape id="_x0000_i1025" o:spt="75" type="#_x0000_t75" style="height:38.25pt;width:189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05EDE5CA">
            <w:pPr>
              <w:pStyle w:val="13"/>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式中：N为有效评标价的个数；</w:t>
            </w:r>
          </w:p>
          <w:p w14:paraId="3DA1E178">
            <w:pPr>
              <w:pStyle w:val="13"/>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n1、n2的取值：</w:t>
            </w:r>
          </w:p>
          <w:p w14:paraId="6FA59789">
            <w:pPr>
              <w:pStyle w:val="13"/>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当N＜6时，n1、n2均取0；</w:t>
            </w:r>
          </w:p>
          <w:p w14:paraId="189FECB9">
            <w:pPr>
              <w:pStyle w:val="13"/>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当N≥6时，n1、n2均取1。</w:t>
            </w:r>
          </w:p>
        </w:tc>
      </w:tr>
      <w:tr w14:paraId="40CB948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580" w:hRule="atLeast"/>
        </w:trPr>
        <w:tc>
          <w:tcPr>
            <w:tcW w:w="9082" w:type="dxa"/>
            <w:gridSpan w:val="3"/>
            <w:tcBorders>
              <w:top w:val="single" w:color="auto" w:sz="4" w:space="0"/>
              <w:bottom w:val="single" w:color="auto" w:sz="4" w:space="0"/>
            </w:tcBorders>
            <w:shd w:val="clear" w:color="auto" w:fill="FFFFFF"/>
            <w:vAlign w:val="center"/>
          </w:tcPr>
          <w:p w14:paraId="195F5DD5">
            <w:pPr>
              <w:pStyle w:val="13"/>
              <w:numPr>
                <w:ilvl w:val="0"/>
                <w:numId w:val="0"/>
              </w:numPr>
              <w:shd w:val="clear" w:color="auto" w:fill="auto"/>
              <w:spacing w:before="0" w:after="0" w:line="360" w:lineRule="exact"/>
              <w:ind w:left="0" w:leftChars="0"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color w:val="000000"/>
                <w:kern w:val="0"/>
                <w:sz w:val="21"/>
                <w:szCs w:val="21"/>
                <w:highlight w:val="none"/>
                <w:lang w:val="en-US" w:eastAsia="zh-CN" w:bidi="ar"/>
              </w:rPr>
              <w:t>需补充的其他内容</w:t>
            </w:r>
          </w:p>
        </w:tc>
      </w:tr>
      <w:tr w14:paraId="0A2EBB1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384" w:hRule="atLeast"/>
        </w:trPr>
        <w:tc>
          <w:tcPr>
            <w:tcW w:w="1037" w:type="dxa"/>
            <w:tcBorders>
              <w:top w:val="single" w:color="auto" w:sz="4" w:space="0"/>
            </w:tcBorders>
            <w:shd w:val="clear" w:color="auto" w:fill="FFFFFF"/>
            <w:vAlign w:val="center"/>
          </w:tcPr>
          <w:p w14:paraId="155B7833">
            <w:pPr>
              <w:keepNext w:val="0"/>
              <w:keepLines w:val="0"/>
              <w:widowControl/>
              <w:suppressLineNumbers w:val="0"/>
              <w:jc w:val="left"/>
              <w:rPr>
                <w:rStyle w:val="14"/>
                <w:rFonts w:hint="eastAsia" w:ascii="仿宋" w:hAnsi="仿宋" w:eastAsia="仿宋" w:cs="仿宋"/>
                <w:i w:val="0"/>
                <w:iCs w:val="0"/>
                <w:color w:val="auto"/>
                <w:spacing w:val="0"/>
                <w:kern w:val="2"/>
                <w:sz w:val="21"/>
                <w:szCs w:val="21"/>
                <w:highlight w:val="none"/>
                <w:lang w:val="en-US" w:eastAsia="zh-CN" w:bidi="ar-SA"/>
              </w:rPr>
            </w:pPr>
            <w:r>
              <w:rPr>
                <w:rStyle w:val="14"/>
                <w:rFonts w:hint="eastAsia" w:ascii="仿宋" w:hAnsi="仿宋" w:eastAsia="仿宋" w:cs="仿宋"/>
                <w:i w:val="0"/>
                <w:iCs w:val="0"/>
                <w:color w:val="auto"/>
                <w:spacing w:val="0"/>
                <w:kern w:val="2"/>
                <w:sz w:val="21"/>
                <w:szCs w:val="21"/>
                <w:highlight w:val="none"/>
                <w:lang w:val="en-US" w:eastAsia="zh-CN" w:bidi="ar-SA"/>
              </w:rPr>
              <w:t>增加 4.1</w:t>
            </w:r>
          </w:p>
          <w:p w14:paraId="3BFC5DED">
            <w:pPr>
              <w:pStyle w:val="13"/>
              <w:shd w:val="clear" w:color="auto"/>
              <w:spacing w:before="0" w:after="0" w:line="360" w:lineRule="exact"/>
              <w:rPr>
                <w:rStyle w:val="14"/>
                <w:rFonts w:hint="eastAsia" w:ascii="仿宋" w:hAnsi="仿宋" w:eastAsia="仿宋" w:cs="仿宋"/>
                <w:i w:val="0"/>
                <w:color w:val="auto"/>
                <w:spacing w:val="0"/>
                <w:sz w:val="21"/>
                <w:szCs w:val="21"/>
                <w:highlight w:val="none"/>
                <w:lang w:val="en-US" w:eastAsia="zh-CN"/>
              </w:rPr>
            </w:pPr>
          </w:p>
        </w:tc>
        <w:tc>
          <w:tcPr>
            <w:tcW w:w="1785" w:type="dxa"/>
            <w:tcBorders>
              <w:top w:val="single" w:color="auto" w:sz="4" w:space="0"/>
              <w:left w:val="single" w:color="auto" w:sz="4" w:space="0"/>
            </w:tcBorders>
            <w:shd w:val="clear" w:color="auto" w:fill="FFFFFF"/>
            <w:vAlign w:val="center"/>
          </w:tcPr>
          <w:p w14:paraId="1B5E4146">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评标报告应载明 </w:t>
            </w:r>
          </w:p>
          <w:p w14:paraId="5CD3E04E">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的内容</w:t>
            </w:r>
          </w:p>
          <w:p w14:paraId="64892528">
            <w:pPr>
              <w:pStyle w:val="13"/>
              <w:shd w:val="clear" w:color="auto"/>
              <w:spacing w:before="0" w:after="0" w:line="360" w:lineRule="exact"/>
              <w:rPr>
                <w:rStyle w:val="14"/>
                <w:rFonts w:hint="eastAsia" w:ascii="仿宋" w:hAnsi="仿宋" w:eastAsia="仿宋" w:cs="仿宋"/>
                <w:i w:val="0"/>
                <w:color w:val="auto"/>
                <w:spacing w:val="0"/>
                <w:sz w:val="21"/>
                <w:szCs w:val="21"/>
                <w:highlight w:val="none"/>
                <w:lang w:val="en-US" w:eastAsia="zh-CN"/>
              </w:rPr>
            </w:pPr>
          </w:p>
        </w:tc>
        <w:tc>
          <w:tcPr>
            <w:tcW w:w="6260" w:type="dxa"/>
            <w:tcBorders>
              <w:top w:val="single" w:color="auto" w:sz="4" w:space="0"/>
              <w:left w:val="single" w:color="auto" w:sz="4" w:space="0"/>
            </w:tcBorders>
            <w:shd w:val="clear" w:color="auto" w:fill="FFFFFF"/>
            <w:vAlign w:val="center"/>
          </w:tcPr>
          <w:p w14:paraId="3B22C265">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评标报告应载明下列内容： </w:t>
            </w:r>
          </w:p>
          <w:p w14:paraId="1F41A2A2">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1.招标项目基本情况； </w:t>
            </w:r>
          </w:p>
          <w:p w14:paraId="2C301504">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2.评标委员会成员名单； </w:t>
            </w:r>
          </w:p>
          <w:p w14:paraId="45EBC3E9">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3.开标记录； </w:t>
            </w:r>
          </w:p>
          <w:p w14:paraId="290C2184">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4.符合要求的投标人名单； </w:t>
            </w:r>
          </w:p>
          <w:p w14:paraId="4A3DB9E6">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5.否决的投标人名单及否决理由； </w:t>
            </w:r>
          </w:p>
          <w:p w14:paraId="505220FE">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6.串通投标情形的评审情况说明； </w:t>
            </w:r>
          </w:p>
          <w:p w14:paraId="44889F06">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7.评分情况； </w:t>
            </w:r>
          </w:p>
          <w:p w14:paraId="079CCB3C">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8.经评审的投标人排序； </w:t>
            </w:r>
          </w:p>
          <w:p w14:paraId="2675EEA2">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9.中标候选人名单； </w:t>
            </w:r>
          </w:p>
          <w:p w14:paraId="678DBB6A">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10.澄清、说明事项纪要； </w:t>
            </w:r>
          </w:p>
          <w:p w14:paraId="7D207934">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 xml:space="preserve">11.需要说明的其他事项； </w:t>
            </w:r>
          </w:p>
          <w:p w14:paraId="23AB8168">
            <w:pPr>
              <w:keepNext w:val="0"/>
              <w:keepLines w:val="0"/>
              <w:widowControl/>
              <w:suppressLineNumbers w:val="0"/>
              <w:jc w:val="left"/>
              <w:rPr>
                <w:rStyle w:val="14"/>
                <w:rFonts w:hint="eastAsia" w:ascii="仿宋" w:hAnsi="仿宋" w:eastAsia="仿宋" w:cs="仿宋"/>
                <w:i w:val="0"/>
                <w:color w:val="auto"/>
                <w:spacing w:val="0"/>
                <w:kern w:val="2"/>
                <w:sz w:val="21"/>
                <w:szCs w:val="21"/>
                <w:highlight w:val="none"/>
                <w:lang w:val="en-US" w:eastAsia="zh-CN" w:bidi="ar-SA"/>
              </w:rPr>
            </w:pPr>
            <w:r>
              <w:rPr>
                <w:rStyle w:val="14"/>
                <w:rFonts w:hint="eastAsia" w:ascii="仿宋" w:hAnsi="仿宋" w:eastAsia="仿宋" w:cs="仿宋"/>
                <w:i w:val="0"/>
                <w:color w:val="auto"/>
                <w:spacing w:val="0"/>
                <w:kern w:val="2"/>
                <w:sz w:val="21"/>
                <w:szCs w:val="21"/>
                <w:highlight w:val="none"/>
                <w:lang w:val="en-US" w:eastAsia="zh-CN" w:bidi="ar-SA"/>
              </w:rPr>
              <w:t>12.评标附表。</w:t>
            </w:r>
          </w:p>
          <w:p w14:paraId="3F567F4C">
            <w:pPr>
              <w:pStyle w:val="13"/>
              <w:shd w:val="clear" w:color="auto"/>
              <w:spacing w:before="0" w:after="0" w:line="360" w:lineRule="exact"/>
              <w:ind w:right="59" w:rightChars="28" w:firstLine="60" w:firstLineChars="29"/>
              <w:jc w:val="both"/>
              <w:rPr>
                <w:rFonts w:hint="eastAsia" w:ascii="仿宋" w:hAnsi="仿宋" w:eastAsia="仿宋" w:cs="仿宋"/>
                <w:iCs/>
                <w:sz w:val="21"/>
                <w:szCs w:val="21"/>
                <w:highlight w:val="none"/>
                <w:lang w:val="en-US" w:eastAsia="zh-CN"/>
              </w:rPr>
            </w:pPr>
          </w:p>
        </w:tc>
      </w:tr>
    </w:tbl>
    <w:p w14:paraId="42C91B8C">
      <w:pPr>
        <w:rPr>
          <w:rFonts w:hint="eastAsia" w:ascii="仿宋" w:hAnsi="仿宋" w:eastAsia="仿宋" w:cs="仿宋"/>
          <w:sz w:val="21"/>
          <w:szCs w:val="21"/>
          <w:highlight w:val="none"/>
          <w:lang w:val="en-US" w:eastAsia="zh-CN"/>
        </w:rPr>
      </w:pPr>
    </w:p>
    <w:p w14:paraId="3DC2D6C6">
      <w:pPr>
        <w:pStyle w:val="3"/>
        <w:rPr>
          <w:rFonts w:hint="eastAsia" w:ascii="仿宋" w:hAnsi="仿宋" w:eastAsia="仿宋" w:cs="仿宋"/>
          <w:sz w:val="21"/>
          <w:szCs w:val="21"/>
          <w:highlight w:val="none"/>
          <w:lang w:val="en-US" w:eastAsia="zh-CN"/>
        </w:rPr>
      </w:pPr>
    </w:p>
    <w:p w14:paraId="422FCA9B">
      <w:pPr>
        <w:rPr>
          <w:rFonts w:hint="eastAsia" w:ascii="仿宋" w:hAnsi="仿宋" w:eastAsia="仿宋" w:cs="仿宋"/>
          <w:sz w:val="21"/>
          <w:szCs w:val="21"/>
          <w:highlight w:val="none"/>
          <w:lang w:val="en-US" w:eastAsia="zh-CN"/>
        </w:rPr>
      </w:pPr>
    </w:p>
    <w:p w14:paraId="0DAEBDFD">
      <w:pPr>
        <w:rPr>
          <w:rFonts w:hint="eastAsia" w:ascii="仿宋" w:hAnsi="仿宋" w:eastAsia="仿宋" w:cs="仿宋"/>
          <w:sz w:val="21"/>
          <w:szCs w:val="21"/>
          <w:highlight w:val="none"/>
          <w:lang w:val="en-US" w:eastAsia="zh-CN"/>
        </w:rPr>
      </w:pPr>
    </w:p>
    <w:p w14:paraId="37A1C2E5">
      <w:pPr>
        <w:rPr>
          <w:rFonts w:hint="eastAsia" w:ascii="仿宋" w:hAnsi="仿宋" w:eastAsia="仿宋" w:cs="仿宋"/>
          <w:sz w:val="21"/>
          <w:szCs w:val="21"/>
          <w:highlight w:val="none"/>
          <w:lang w:val="en-US" w:eastAsia="zh-CN"/>
        </w:rPr>
      </w:pPr>
    </w:p>
    <w:p w14:paraId="08C13620">
      <w:pPr>
        <w:rPr>
          <w:rFonts w:hint="eastAsia" w:ascii="仿宋" w:hAnsi="仿宋" w:eastAsia="仿宋" w:cs="仿宋"/>
          <w:sz w:val="21"/>
          <w:szCs w:val="21"/>
          <w:highlight w:val="none"/>
          <w:lang w:val="en-US" w:eastAsia="zh-CN"/>
        </w:rPr>
      </w:pPr>
    </w:p>
    <w:p w14:paraId="218653B0">
      <w:pPr>
        <w:pStyle w:val="2"/>
        <w:rPr>
          <w:rFonts w:hint="eastAsia" w:ascii="仿宋" w:hAnsi="仿宋" w:eastAsia="仿宋" w:cs="仿宋"/>
          <w:sz w:val="21"/>
          <w:szCs w:val="21"/>
          <w:lang w:val="en-US" w:eastAsia="zh-CN"/>
        </w:rPr>
      </w:pPr>
    </w:p>
    <w:p w14:paraId="5ACF189B">
      <w:pPr>
        <w:rPr>
          <w:rFonts w:hint="eastAsia" w:ascii="仿宋" w:hAnsi="仿宋" w:eastAsia="仿宋" w:cs="仿宋"/>
          <w:sz w:val="21"/>
          <w:szCs w:val="21"/>
          <w:highlight w:val="none"/>
          <w:lang w:val="en-US" w:eastAsia="zh-CN"/>
        </w:rPr>
      </w:pPr>
    </w:p>
    <w:p w14:paraId="57F900D7">
      <w:pPr>
        <w:rPr>
          <w:rFonts w:hint="eastAsia" w:ascii="仿宋" w:hAnsi="仿宋" w:eastAsia="仿宋" w:cs="仿宋"/>
          <w:sz w:val="21"/>
          <w:szCs w:val="21"/>
          <w:highlight w:val="none"/>
          <w:lang w:val="en-US" w:eastAsia="zh-CN"/>
        </w:rPr>
      </w:pPr>
    </w:p>
    <w:p w14:paraId="683E34DF">
      <w:pPr>
        <w:rPr>
          <w:rFonts w:hint="eastAsia" w:ascii="仿宋" w:hAnsi="仿宋" w:eastAsia="仿宋" w:cs="仿宋"/>
          <w:sz w:val="21"/>
          <w:szCs w:val="21"/>
          <w:highlight w:val="none"/>
          <w:lang w:val="en-US" w:eastAsia="zh-CN"/>
        </w:rPr>
      </w:pPr>
    </w:p>
    <w:p w14:paraId="7324CEDF">
      <w:pPr>
        <w:rPr>
          <w:rFonts w:hint="eastAsia" w:ascii="仿宋" w:hAnsi="仿宋" w:eastAsia="仿宋" w:cs="仿宋"/>
          <w:sz w:val="21"/>
          <w:szCs w:val="21"/>
          <w:highlight w:val="none"/>
          <w:lang w:val="en-US" w:eastAsia="zh-CN"/>
        </w:rPr>
      </w:pPr>
    </w:p>
    <w:tbl>
      <w:tblPr>
        <w:tblStyle w:val="9"/>
        <w:tblW w:w="9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7"/>
        <w:gridCol w:w="637"/>
        <w:gridCol w:w="696"/>
        <w:gridCol w:w="2671"/>
        <w:gridCol w:w="884"/>
        <w:gridCol w:w="3533"/>
      </w:tblGrid>
      <w:tr w14:paraId="7DBC8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937" w:type="dxa"/>
            <w:vMerge w:val="restart"/>
            <w:noWrap w:val="0"/>
            <w:vAlign w:val="center"/>
          </w:tcPr>
          <w:p w14:paraId="3625111A">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条款号</w:t>
            </w:r>
          </w:p>
        </w:tc>
        <w:tc>
          <w:tcPr>
            <w:tcW w:w="4888" w:type="dxa"/>
            <w:gridSpan w:val="4"/>
            <w:noWrap w:val="0"/>
            <w:vAlign w:val="center"/>
          </w:tcPr>
          <w:p w14:paraId="732CD6FC">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评分因素与权重分值</w:t>
            </w:r>
          </w:p>
        </w:tc>
        <w:tc>
          <w:tcPr>
            <w:tcW w:w="3533" w:type="dxa"/>
            <w:vMerge w:val="restart"/>
            <w:noWrap w:val="0"/>
            <w:vAlign w:val="center"/>
          </w:tcPr>
          <w:p w14:paraId="768992A0">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评分标准</w:t>
            </w:r>
          </w:p>
        </w:tc>
      </w:tr>
      <w:tr w14:paraId="78EC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2" w:hRule="atLeast"/>
        </w:trPr>
        <w:tc>
          <w:tcPr>
            <w:tcW w:w="937" w:type="dxa"/>
            <w:vMerge w:val="continue"/>
            <w:noWrap w:val="0"/>
            <w:vAlign w:val="top"/>
          </w:tcPr>
          <w:p w14:paraId="4918DF0F">
            <w:pPr>
              <w:spacing w:line="240" w:lineRule="atLeast"/>
              <w:rPr>
                <w:rFonts w:hint="eastAsia" w:ascii="仿宋" w:hAnsi="仿宋" w:eastAsia="仿宋" w:cs="仿宋"/>
                <w:b w:val="0"/>
                <w:bCs w:val="0"/>
                <w:color w:val="auto"/>
                <w:sz w:val="21"/>
                <w:szCs w:val="21"/>
                <w:highlight w:val="none"/>
              </w:rPr>
            </w:pPr>
          </w:p>
        </w:tc>
        <w:tc>
          <w:tcPr>
            <w:tcW w:w="637" w:type="dxa"/>
            <w:noWrap w:val="0"/>
            <w:vAlign w:val="center"/>
          </w:tcPr>
          <w:p w14:paraId="204A6F28">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w:t>
            </w:r>
          </w:p>
          <w:p w14:paraId="62326952">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因素</w:t>
            </w:r>
          </w:p>
        </w:tc>
        <w:tc>
          <w:tcPr>
            <w:tcW w:w="696" w:type="dxa"/>
            <w:noWrap w:val="0"/>
            <w:vAlign w:val="center"/>
          </w:tcPr>
          <w:p w14:paraId="1B09365D">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评分因</w:t>
            </w:r>
          </w:p>
          <w:p w14:paraId="75B251F7">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素权重</w:t>
            </w:r>
          </w:p>
          <w:p w14:paraId="4C64452E">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分值</w:t>
            </w:r>
          </w:p>
        </w:tc>
        <w:tc>
          <w:tcPr>
            <w:tcW w:w="2671" w:type="dxa"/>
            <w:noWrap w:val="0"/>
            <w:vAlign w:val="center"/>
          </w:tcPr>
          <w:p w14:paraId="1C286473">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各评分因素</w:t>
            </w:r>
          </w:p>
          <w:p w14:paraId="46BCCBCC">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细分项</w:t>
            </w:r>
          </w:p>
        </w:tc>
        <w:tc>
          <w:tcPr>
            <w:tcW w:w="884" w:type="dxa"/>
            <w:noWrap w:val="0"/>
            <w:vAlign w:val="center"/>
          </w:tcPr>
          <w:p w14:paraId="0CE6A945">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分值</w:t>
            </w:r>
          </w:p>
        </w:tc>
        <w:tc>
          <w:tcPr>
            <w:tcW w:w="3533" w:type="dxa"/>
            <w:vMerge w:val="continue"/>
            <w:noWrap w:val="0"/>
            <w:vAlign w:val="top"/>
          </w:tcPr>
          <w:p w14:paraId="1C87B295">
            <w:pPr>
              <w:spacing w:line="240" w:lineRule="atLeast"/>
              <w:rPr>
                <w:rFonts w:hint="eastAsia" w:ascii="仿宋" w:hAnsi="仿宋" w:eastAsia="仿宋" w:cs="仿宋"/>
                <w:b w:val="0"/>
                <w:bCs w:val="0"/>
                <w:color w:val="auto"/>
                <w:sz w:val="21"/>
                <w:szCs w:val="21"/>
                <w:highlight w:val="none"/>
              </w:rPr>
            </w:pPr>
          </w:p>
        </w:tc>
      </w:tr>
      <w:tr w14:paraId="4AC3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trPr>
        <w:tc>
          <w:tcPr>
            <w:tcW w:w="937" w:type="dxa"/>
            <w:vMerge w:val="restart"/>
            <w:noWrap w:val="0"/>
            <w:vAlign w:val="center"/>
          </w:tcPr>
          <w:p w14:paraId="57DAD0C3">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1050628A">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rPr>
              <w:t>1</w:t>
            </w:r>
            <w:r>
              <w:rPr>
                <w:rFonts w:hint="eastAsia" w:ascii="仿宋" w:hAnsi="仿宋" w:eastAsia="仿宋" w:cs="仿宋"/>
                <w:b w:val="0"/>
                <w:bCs w:val="0"/>
                <w:color w:val="auto"/>
                <w:sz w:val="21"/>
                <w:szCs w:val="21"/>
                <w:highlight w:val="none"/>
              </w:rPr>
              <w:t>）</w:t>
            </w:r>
          </w:p>
        </w:tc>
        <w:tc>
          <w:tcPr>
            <w:tcW w:w="637" w:type="dxa"/>
            <w:vMerge w:val="restart"/>
            <w:noWrap w:val="0"/>
            <w:vAlign w:val="center"/>
          </w:tcPr>
          <w:p w14:paraId="045DF96A">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w:t>
            </w:r>
          </w:p>
          <w:p w14:paraId="533960B3">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术</w:t>
            </w:r>
          </w:p>
          <w:p w14:paraId="2828C244">
            <w:pPr>
              <w:pStyle w:val="17"/>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建</w:t>
            </w:r>
          </w:p>
          <w:p w14:paraId="180AC7E1">
            <w:pPr>
              <w:pStyle w:val="17"/>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议</w:t>
            </w:r>
          </w:p>
          <w:p w14:paraId="1D8514BF">
            <w:pPr>
              <w:pStyle w:val="17"/>
              <w:spacing w:line="240" w:lineRule="atLeast"/>
              <w:jc w:val="center"/>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rPr>
              <w:t>书</w:t>
            </w:r>
            <w:r>
              <w:rPr>
                <w:rFonts w:hint="eastAsia" w:ascii="仿宋" w:hAnsi="仿宋" w:eastAsia="仿宋" w:cs="仿宋"/>
                <w:b w:val="0"/>
                <w:bCs w:val="0"/>
                <w:color w:val="auto"/>
                <w:sz w:val="21"/>
                <w:szCs w:val="21"/>
                <w:highlight w:val="none"/>
                <w:lang w:val="en-US" w:eastAsia="zh-CN"/>
              </w:rPr>
              <w:t>（</w:t>
            </w:r>
            <w:r>
              <w:rPr>
                <w:rFonts w:hint="eastAsia" w:ascii="仿宋" w:hAnsi="仿宋" w:eastAsia="仿宋" w:cs="仿宋"/>
                <w:b w:val="0"/>
                <w:bCs w:val="0"/>
                <w:color w:val="000000"/>
                <w:sz w:val="21"/>
                <w:szCs w:val="21"/>
                <w:highlight w:val="none"/>
                <w:lang w:val="en-US" w:eastAsia="zh-CN"/>
              </w:rPr>
              <w:t>JK-SJ1标段</w:t>
            </w:r>
            <w:r>
              <w:rPr>
                <w:rFonts w:hint="eastAsia" w:ascii="仿宋" w:hAnsi="仿宋" w:eastAsia="仿宋" w:cs="仿宋"/>
                <w:b w:val="0"/>
                <w:bCs w:val="0"/>
                <w:color w:val="auto"/>
                <w:sz w:val="21"/>
                <w:szCs w:val="21"/>
                <w:highlight w:val="none"/>
                <w:lang w:val="en-US" w:eastAsia="zh-CN"/>
              </w:rPr>
              <w:t>）</w:t>
            </w:r>
          </w:p>
        </w:tc>
        <w:tc>
          <w:tcPr>
            <w:tcW w:w="696" w:type="dxa"/>
            <w:vMerge w:val="restart"/>
            <w:noWrap w:val="0"/>
            <w:vAlign w:val="center"/>
          </w:tcPr>
          <w:p w14:paraId="35541E27">
            <w:pPr>
              <w:pStyle w:val="17"/>
              <w:spacing w:line="244" w:lineRule="auto"/>
              <w:ind w:left="143" w:leftChars="0" w:right="131" w:rightChars="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Cs/>
                <w:color w:val="auto"/>
                <w:sz w:val="21"/>
                <w:szCs w:val="21"/>
                <w:highlight w:val="none"/>
                <w:lang w:val="en-US" w:eastAsia="zh-CN"/>
              </w:rPr>
              <w:t>45</w:t>
            </w:r>
            <w:r>
              <w:rPr>
                <w:rFonts w:hint="eastAsia" w:ascii="仿宋" w:hAnsi="仿宋" w:eastAsia="仿宋" w:cs="仿宋"/>
                <w:bCs/>
                <w:color w:val="auto"/>
                <w:sz w:val="21"/>
                <w:szCs w:val="21"/>
                <w:highlight w:val="none"/>
                <w:lang w:val="en-US"/>
              </w:rPr>
              <w:t>分</w:t>
            </w:r>
          </w:p>
        </w:tc>
        <w:tc>
          <w:tcPr>
            <w:tcW w:w="2671" w:type="dxa"/>
            <w:noWrap w:val="0"/>
            <w:vAlign w:val="center"/>
          </w:tcPr>
          <w:p w14:paraId="6F525E9B">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工作机构设置与总体安排</w:t>
            </w:r>
          </w:p>
        </w:tc>
        <w:tc>
          <w:tcPr>
            <w:tcW w:w="884" w:type="dxa"/>
            <w:noWrap w:val="0"/>
            <w:vAlign w:val="center"/>
          </w:tcPr>
          <w:p w14:paraId="7ED9288C">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07665EC7">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066C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trPr>
        <w:tc>
          <w:tcPr>
            <w:tcW w:w="937" w:type="dxa"/>
            <w:vMerge w:val="continue"/>
            <w:noWrap w:val="0"/>
            <w:vAlign w:val="center"/>
          </w:tcPr>
          <w:p w14:paraId="23F69504">
            <w:pPr>
              <w:pStyle w:val="4"/>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2AFD66B9">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70455FD8">
            <w:pPr>
              <w:pStyle w:val="17"/>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0CCDAD3A">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对</w:t>
            </w:r>
            <w:r>
              <w:rPr>
                <w:rFonts w:hint="eastAsia" w:ascii="仿宋" w:hAnsi="仿宋" w:eastAsia="仿宋" w:cs="仿宋"/>
                <w:color w:val="auto"/>
                <w:kern w:val="2"/>
                <w:sz w:val="21"/>
                <w:szCs w:val="21"/>
                <w:highlight w:val="none"/>
                <w:lang w:val="en-US" w:eastAsia="zh-CN" w:bidi="ar-SA"/>
              </w:rPr>
              <w:t>招标项目</w:t>
            </w:r>
            <w:r>
              <w:rPr>
                <w:rFonts w:hint="eastAsia" w:ascii="仿宋" w:hAnsi="仿宋" w:eastAsia="仿宋" w:cs="仿宋"/>
                <w:color w:val="auto"/>
                <w:kern w:val="2"/>
                <w:sz w:val="21"/>
                <w:szCs w:val="21"/>
                <w:highlight w:val="none"/>
                <w:lang w:val="zh-TW" w:eastAsia="zh-CN" w:bidi="ar-SA"/>
              </w:rPr>
              <w:t>的理解和总体设计思路</w:t>
            </w:r>
          </w:p>
        </w:tc>
        <w:tc>
          <w:tcPr>
            <w:tcW w:w="884" w:type="dxa"/>
            <w:noWrap w:val="0"/>
            <w:vAlign w:val="center"/>
          </w:tcPr>
          <w:p w14:paraId="548BDFF5">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3CC67A1F">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555F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937" w:type="dxa"/>
            <w:vMerge w:val="continue"/>
            <w:noWrap w:val="0"/>
            <w:vAlign w:val="center"/>
          </w:tcPr>
          <w:p w14:paraId="2C1695F4">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7A48AB68">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4ED3CCB8">
            <w:pPr>
              <w:pStyle w:val="17"/>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71A97AA3">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对招标项目</w:t>
            </w:r>
            <w:r>
              <w:rPr>
                <w:rFonts w:hint="eastAsia" w:ascii="仿宋" w:hAnsi="仿宋" w:eastAsia="仿宋" w:cs="仿宋"/>
                <w:color w:val="auto"/>
                <w:kern w:val="2"/>
                <w:sz w:val="21"/>
                <w:szCs w:val="21"/>
                <w:highlight w:val="none"/>
                <w:lang w:val="zh-TW" w:eastAsia="zh-CN" w:bidi="ar-SA"/>
              </w:rPr>
              <w:t>勘察设计的特点、关键技术问题的认识及其对策措施</w:t>
            </w:r>
          </w:p>
        </w:tc>
        <w:tc>
          <w:tcPr>
            <w:tcW w:w="884" w:type="dxa"/>
            <w:noWrap w:val="0"/>
            <w:vAlign w:val="center"/>
          </w:tcPr>
          <w:p w14:paraId="041B84ED">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15</w:t>
            </w:r>
          </w:p>
        </w:tc>
        <w:tc>
          <w:tcPr>
            <w:tcW w:w="3533" w:type="dxa"/>
            <w:noWrap w:val="0"/>
            <w:vAlign w:val="center"/>
          </w:tcPr>
          <w:p w14:paraId="2F889331">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好计12～15分，较好计9～12分，基本满足项目需要计9分。</w:t>
            </w:r>
          </w:p>
        </w:tc>
      </w:tr>
      <w:tr w14:paraId="1FBD8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937" w:type="dxa"/>
            <w:vMerge w:val="continue"/>
            <w:noWrap w:val="0"/>
            <w:vAlign w:val="center"/>
          </w:tcPr>
          <w:p w14:paraId="6773EA9F">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1CCBF8CA">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6D63B4E6">
            <w:pPr>
              <w:pStyle w:val="17"/>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659736FC">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勘察设计工作量及计划安排</w:t>
            </w:r>
          </w:p>
        </w:tc>
        <w:tc>
          <w:tcPr>
            <w:tcW w:w="884" w:type="dxa"/>
            <w:noWrap w:val="0"/>
            <w:vAlign w:val="center"/>
          </w:tcPr>
          <w:p w14:paraId="77A659D5">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2D76C699">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6CD6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937" w:type="dxa"/>
            <w:vMerge w:val="continue"/>
            <w:noWrap w:val="0"/>
            <w:vAlign w:val="center"/>
          </w:tcPr>
          <w:p w14:paraId="7FAB1863">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315C6D5E">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443E10F9">
            <w:pPr>
              <w:pStyle w:val="17"/>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3A482B23">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勘察设计的质量保证措施、进度保证措施、安全保证措施</w:t>
            </w:r>
          </w:p>
        </w:tc>
        <w:tc>
          <w:tcPr>
            <w:tcW w:w="884" w:type="dxa"/>
            <w:noWrap w:val="0"/>
            <w:vAlign w:val="center"/>
          </w:tcPr>
          <w:p w14:paraId="72E0391E">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10</w:t>
            </w:r>
          </w:p>
        </w:tc>
        <w:tc>
          <w:tcPr>
            <w:tcW w:w="3533" w:type="dxa"/>
            <w:noWrap w:val="0"/>
            <w:vAlign w:val="center"/>
          </w:tcPr>
          <w:p w14:paraId="18683BD0">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合理计8～10分，较合理计6～8分，基本满足项目需要计6分。</w:t>
            </w:r>
          </w:p>
        </w:tc>
      </w:tr>
      <w:tr w14:paraId="7954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937" w:type="dxa"/>
            <w:vMerge w:val="continue"/>
            <w:noWrap w:val="0"/>
            <w:vAlign w:val="center"/>
          </w:tcPr>
          <w:p w14:paraId="560A4EB7">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2A28CA7B">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78F2C26E">
            <w:pPr>
              <w:pStyle w:val="17"/>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5514F414">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后续服务的安排及保证措施</w:t>
            </w:r>
          </w:p>
        </w:tc>
        <w:tc>
          <w:tcPr>
            <w:tcW w:w="884" w:type="dxa"/>
            <w:noWrap w:val="0"/>
            <w:vAlign w:val="center"/>
          </w:tcPr>
          <w:p w14:paraId="5E1B0F45">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25C74D99">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6E23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restart"/>
            <w:noWrap w:val="0"/>
            <w:vAlign w:val="center"/>
          </w:tcPr>
          <w:p w14:paraId="6E558E8A">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20702939">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rPr>
              <w:t>1</w:t>
            </w:r>
            <w:r>
              <w:rPr>
                <w:rFonts w:hint="eastAsia" w:ascii="仿宋" w:hAnsi="仿宋" w:eastAsia="仿宋" w:cs="仿宋"/>
                <w:b w:val="0"/>
                <w:bCs w:val="0"/>
                <w:color w:val="auto"/>
                <w:sz w:val="21"/>
                <w:szCs w:val="21"/>
                <w:highlight w:val="none"/>
              </w:rPr>
              <w:t>）</w:t>
            </w:r>
          </w:p>
        </w:tc>
        <w:tc>
          <w:tcPr>
            <w:tcW w:w="637" w:type="dxa"/>
            <w:vMerge w:val="restart"/>
            <w:noWrap w:val="0"/>
            <w:vAlign w:val="top"/>
          </w:tcPr>
          <w:p w14:paraId="7318118C">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w:t>
            </w:r>
          </w:p>
          <w:p w14:paraId="10C258BD">
            <w:pPr>
              <w:pStyle w:val="17"/>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术</w:t>
            </w:r>
          </w:p>
          <w:p w14:paraId="27117492">
            <w:pPr>
              <w:pStyle w:val="17"/>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建</w:t>
            </w:r>
          </w:p>
          <w:p w14:paraId="1C5412D2">
            <w:pPr>
              <w:pStyle w:val="17"/>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议</w:t>
            </w:r>
          </w:p>
          <w:p w14:paraId="2AAAE177">
            <w:pPr>
              <w:pStyle w:val="17"/>
              <w:spacing w:line="240" w:lineRule="atLeast"/>
              <w:jc w:val="center"/>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rPr>
              <w:t>书</w:t>
            </w:r>
            <w:r>
              <w:rPr>
                <w:rFonts w:hint="eastAsia" w:ascii="仿宋" w:hAnsi="仿宋" w:eastAsia="仿宋" w:cs="仿宋"/>
                <w:b w:val="0"/>
                <w:bCs w:val="0"/>
                <w:color w:val="auto"/>
                <w:sz w:val="21"/>
                <w:szCs w:val="21"/>
                <w:highlight w:val="none"/>
                <w:lang w:val="en-US" w:eastAsia="zh-CN"/>
              </w:rPr>
              <w:t>（JK-ZX1标段）</w:t>
            </w:r>
          </w:p>
        </w:tc>
        <w:tc>
          <w:tcPr>
            <w:tcW w:w="696" w:type="dxa"/>
            <w:vMerge w:val="restart"/>
            <w:noWrap w:val="0"/>
            <w:vAlign w:val="center"/>
          </w:tcPr>
          <w:p w14:paraId="697B39F3">
            <w:pPr>
              <w:pStyle w:val="17"/>
              <w:spacing w:line="244" w:lineRule="auto"/>
              <w:ind w:left="143" w:leftChars="0" w:right="131" w:rightChars="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Cs/>
                <w:color w:val="auto"/>
                <w:sz w:val="21"/>
                <w:szCs w:val="21"/>
                <w:highlight w:val="none"/>
                <w:lang w:val="en-US" w:eastAsia="zh-CN"/>
              </w:rPr>
              <w:t>45</w:t>
            </w:r>
            <w:r>
              <w:rPr>
                <w:rFonts w:hint="eastAsia" w:ascii="仿宋" w:hAnsi="仿宋" w:eastAsia="仿宋" w:cs="仿宋"/>
                <w:bCs/>
                <w:color w:val="auto"/>
                <w:sz w:val="21"/>
                <w:szCs w:val="21"/>
                <w:highlight w:val="none"/>
                <w:lang w:val="en-US"/>
              </w:rPr>
              <w:t>分</w:t>
            </w:r>
          </w:p>
        </w:tc>
        <w:tc>
          <w:tcPr>
            <w:tcW w:w="2671" w:type="dxa"/>
            <w:noWrap w:val="0"/>
            <w:vAlign w:val="center"/>
          </w:tcPr>
          <w:p w14:paraId="30C4EDA3">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kern w:val="2"/>
                <w:sz w:val="21"/>
                <w:szCs w:val="21"/>
                <w:highlight w:val="none"/>
                <w:lang w:val="en-US" w:eastAsia="zh-CN" w:bidi="ar-SA"/>
              </w:rPr>
              <w:t>工作机构设置与总体安排</w:t>
            </w:r>
          </w:p>
        </w:tc>
        <w:tc>
          <w:tcPr>
            <w:tcW w:w="884" w:type="dxa"/>
            <w:noWrap w:val="0"/>
            <w:vAlign w:val="center"/>
          </w:tcPr>
          <w:p w14:paraId="331B88DA">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2523A339">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408C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continue"/>
            <w:noWrap w:val="0"/>
            <w:vAlign w:val="top"/>
          </w:tcPr>
          <w:p w14:paraId="53D80BA2">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38B856E7">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54D2F4C7">
            <w:pPr>
              <w:pStyle w:val="17"/>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6C37593C">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kern w:val="2"/>
                <w:sz w:val="21"/>
                <w:szCs w:val="21"/>
                <w:highlight w:val="none"/>
                <w:lang w:val="zh-TW" w:eastAsia="zh-CN" w:bidi="ar-SA"/>
              </w:rPr>
              <w:t>对</w:t>
            </w:r>
            <w:r>
              <w:rPr>
                <w:rFonts w:hint="eastAsia" w:ascii="仿宋" w:hAnsi="仿宋" w:eastAsia="仿宋" w:cs="仿宋"/>
                <w:color w:val="auto"/>
                <w:kern w:val="2"/>
                <w:sz w:val="21"/>
                <w:szCs w:val="21"/>
                <w:highlight w:val="none"/>
                <w:lang w:val="en-US" w:eastAsia="zh-CN" w:bidi="ar-SA"/>
              </w:rPr>
              <w:t>招标项目</w:t>
            </w:r>
            <w:r>
              <w:rPr>
                <w:rFonts w:hint="eastAsia" w:ascii="仿宋" w:hAnsi="仿宋" w:eastAsia="仿宋" w:cs="仿宋"/>
                <w:color w:val="auto"/>
                <w:kern w:val="2"/>
                <w:sz w:val="21"/>
                <w:szCs w:val="21"/>
                <w:highlight w:val="none"/>
                <w:lang w:val="zh-TW" w:eastAsia="zh-CN" w:bidi="ar-SA"/>
              </w:rPr>
              <w:t>的理解和总体设计思路</w:t>
            </w:r>
          </w:p>
        </w:tc>
        <w:tc>
          <w:tcPr>
            <w:tcW w:w="884" w:type="dxa"/>
            <w:noWrap w:val="0"/>
            <w:vAlign w:val="center"/>
          </w:tcPr>
          <w:p w14:paraId="5596D837">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7A658485">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50CE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937" w:type="dxa"/>
            <w:vMerge w:val="continue"/>
            <w:noWrap w:val="0"/>
            <w:vAlign w:val="top"/>
          </w:tcPr>
          <w:p w14:paraId="459C59A0">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293CD68D">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69B76756">
            <w:pPr>
              <w:pStyle w:val="17"/>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473C24AF">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kern w:val="2"/>
                <w:sz w:val="21"/>
                <w:szCs w:val="21"/>
                <w:highlight w:val="none"/>
                <w:lang w:val="en-US" w:eastAsia="zh-CN" w:bidi="ar-SA"/>
              </w:rPr>
              <w:t>勘察设计咨询工作重点难点分析及技术措施</w:t>
            </w:r>
          </w:p>
        </w:tc>
        <w:tc>
          <w:tcPr>
            <w:tcW w:w="884" w:type="dxa"/>
            <w:noWrap w:val="0"/>
            <w:vAlign w:val="center"/>
          </w:tcPr>
          <w:p w14:paraId="282C5B46">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15</w:t>
            </w:r>
          </w:p>
        </w:tc>
        <w:tc>
          <w:tcPr>
            <w:tcW w:w="3533" w:type="dxa"/>
            <w:noWrap w:val="0"/>
            <w:vAlign w:val="center"/>
          </w:tcPr>
          <w:p w14:paraId="7EA155C4">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好计12～15分，较好计9～12分，基本满足项目需要计9分。</w:t>
            </w:r>
          </w:p>
        </w:tc>
      </w:tr>
      <w:tr w14:paraId="6D0D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937" w:type="dxa"/>
            <w:vMerge w:val="continue"/>
            <w:noWrap w:val="0"/>
            <w:vAlign w:val="top"/>
          </w:tcPr>
          <w:p w14:paraId="31897E69">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4FDFDFB5">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73DA88E4">
            <w:pPr>
              <w:pStyle w:val="17"/>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2FA4C738">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w:t>
            </w:r>
            <w:r>
              <w:rPr>
                <w:rFonts w:hint="eastAsia" w:ascii="仿宋" w:hAnsi="仿宋" w:eastAsia="仿宋" w:cs="仿宋"/>
                <w:color w:val="auto"/>
                <w:kern w:val="2"/>
                <w:sz w:val="21"/>
                <w:szCs w:val="21"/>
                <w:highlight w:val="none"/>
                <w:lang w:val="en-US" w:eastAsia="zh-CN" w:bidi="ar-SA"/>
              </w:rPr>
              <w:t>咨询</w:t>
            </w:r>
            <w:r>
              <w:rPr>
                <w:rFonts w:hint="eastAsia" w:ascii="仿宋" w:hAnsi="仿宋" w:eastAsia="仿宋" w:cs="仿宋"/>
                <w:color w:val="auto"/>
                <w:kern w:val="2"/>
                <w:sz w:val="21"/>
                <w:szCs w:val="21"/>
                <w:highlight w:val="none"/>
                <w:lang w:val="zh-TW" w:eastAsia="zh-CN" w:bidi="ar-SA"/>
              </w:rPr>
              <w:t>工作量及计划安排</w:t>
            </w:r>
          </w:p>
        </w:tc>
        <w:tc>
          <w:tcPr>
            <w:tcW w:w="884" w:type="dxa"/>
            <w:noWrap w:val="0"/>
            <w:vAlign w:val="center"/>
          </w:tcPr>
          <w:p w14:paraId="6F024E29">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6AB4B162">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10A80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937" w:type="dxa"/>
            <w:vMerge w:val="continue"/>
            <w:noWrap w:val="0"/>
            <w:vAlign w:val="top"/>
          </w:tcPr>
          <w:p w14:paraId="404FA225">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4FFC3214">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6DB1C212">
            <w:pPr>
              <w:pStyle w:val="17"/>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2A3B8BBA">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w:t>
            </w:r>
            <w:r>
              <w:rPr>
                <w:rFonts w:hint="eastAsia" w:ascii="仿宋" w:hAnsi="仿宋" w:eastAsia="仿宋" w:cs="仿宋"/>
                <w:color w:val="auto"/>
                <w:kern w:val="2"/>
                <w:sz w:val="21"/>
                <w:szCs w:val="21"/>
                <w:highlight w:val="none"/>
                <w:lang w:val="en-US" w:eastAsia="zh-CN" w:bidi="ar-SA"/>
              </w:rPr>
              <w:t>咨询</w:t>
            </w:r>
            <w:r>
              <w:rPr>
                <w:rFonts w:hint="eastAsia" w:ascii="仿宋" w:hAnsi="仿宋" w:eastAsia="仿宋" w:cs="仿宋"/>
                <w:color w:val="auto"/>
                <w:kern w:val="2"/>
                <w:sz w:val="21"/>
                <w:szCs w:val="21"/>
                <w:highlight w:val="none"/>
                <w:lang w:val="zh-TW" w:eastAsia="zh-CN" w:bidi="ar-SA"/>
              </w:rPr>
              <w:t>的质量保证措施、进度保证措施、安全保证措施</w:t>
            </w:r>
          </w:p>
        </w:tc>
        <w:tc>
          <w:tcPr>
            <w:tcW w:w="884" w:type="dxa"/>
            <w:noWrap w:val="0"/>
            <w:vAlign w:val="center"/>
          </w:tcPr>
          <w:p w14:paraId="200B81F7">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10</w:t>
            </w:r>
          </w:p>
        </w:tc>
        <w:tc>
          <w:tcPr>
            <w:tcW w:w="3533" w:type="dxa"/>
            <w:noWrap w:val="0"/>
            <w:vAlign w:val="center"/>
          </w:tcPr>
          <w:p w14:paraId="6FDB59BD">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合理计8～10分，较合理计6～8分，基本满足项目需要计6分。</w:t>
            </w:r>
          </w:p>
        </w:tc>
      </w:tr>
      <w:tr w14:paraId="06DB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continue"/>
            <w:noWrap w:val="0"/>
            <w:vAlign w:val="top"/>
          </w:tcPr>
          <w:p w14:paraId="37AD8B07">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340B094C">
            <w:pPr>
              <w:pStyle w:val="17"/>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2D77CFC8">
            <w:pPr>
              <w:pStyle w:val="17"/>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7C1A4702">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勘察设计咨询工作内容及工作方案</w:t>
            </w:r>
          </w:p>
        </w:tc>
        <w:tc>
          <w:tcPr>
            <w:tcW w:w="884" w:type="dxa"/>
            <w:noWrap w:val="0"/>
            <w:vAlign w:val="center"/>
          </w:tcPr>
          <w:p w14:paraId="0A75F188">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38F8CD8E">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239D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4" w:hRule="atLeast"/>
        </w:trPr>
        <w:tc>
          <w:tcPr>
            <w:tcW w:w="937" w:type="dxa"/>
            <w:vMerge w:val="restart"/>
            <w:shd w:val="clear" w:color="auto" w:fill="auto"/>
            <w:noWrap w:val="0"/>
            <w:vAlign w:val="center"/>
          </w:tcPr>
          <w:p w14:paraId="5EFF001E">
            <w:pPr>
              <w:pStyle w:val="17"/>
              <w:spacing w:before="127"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4ED568C3">
            <w:pPr>
              <w:spacing w:line="240" w:lineRule="atLeast"/>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b w:val="0"/>
                <w:bCs w:val="0"/>
                <w:color w:val="auto"/>
                <w:sz w:val="21"/>
                <w:szCs w:val="21"/>
                <w:highlight w:val="none"/>
              </w:rPr>
              <w:t>（2）</w:t>
            </w:r>
          </w:p>
        </w:tc>
        <w:tc>
          <w:tcPr>
            <w:tcW w:w="637" w:type="dxa"/>
            <w:vMerge w:val="restart"/>
            <w:shd w:val="clear" w:color="auto" w:fill="auto"/>
            <w:noWrap w:val="0"/>
            <w:vAlign w:val="center"/>
          </w:tcPr>
          <w:p w14:paraId="2BC5E8ED">
            <w:pPr>
              <w:spacing w:line="240" w:lineRule="atLeast"/>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b w:val="0"/>
                <w:bCs w:val="0"/>
                <w:color w:val="auto"/>
                <w:sz w:val="21"/>
                <w:szCs w:val="21"/>
                <w:highlight w:val="none"/>
                <w:lang w:val="en-US" w:eastAsia="zh-CN"/>
              </w:rPr>
              <w:t>主要人员</w:t>
            </w:r>
          </w:p>
        </w:tc>
        <w:tc>
          <w:tcPr>
            <w:tcW w:w="696" w:type="dxa"/>
            <w:vMerge w:val="restart"/>
            <w:shd w:val="clear" w:color="auto" w:fill="auto"/>
            <w:noWrap w:val="0"/>
            <w:vAlign w:val="center"/>
          </w:tcPr>
          <w:p w14:paraId="73606614">
            <w:pPr>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b w:val="0"/>
                <w:bCs w:val="0"/>
                <w:color w:val="auto"/>
                <w:sz w:val="21"/>
                <w:szCs w:val="21"/>
                <w:highlight w:val="none"/>
                <w:lang w:val="en-US" w:eastAsia="zh-CN"/>
              </w:rPr>
              <w:t>20</w:t>
            </w:r>
            <w:r>
              <w:rPr>
                <w:rFonts w:hint="eastAsia" w:ascii="仿宋" w:hAnsi="仿宋" w:eastAsia="仿宋" w:cs="仿宋"/>
                <w:b w:val="0"/>
                <w:bCs w:val="0"/>
                <w:color w:val="auto"/>
                <w:sz w:val="21"/>
                <w:szCs w:val="21"/>
                <w:highlight w:val="none"/>
              </w:rPr>
              <w:t>分</w:t>
            </w:r>
          </w:p>
        </w:tc>
        <w:tc>
          <w:tcPr>
            <w:tcW w:w="2671" w:type="dxa"/>
            <w:shd w:val="clear" w:color="auto" w:fill="auto"/>
            <w:noWrap w:val="0"/>
            <w:vAlign w:val="center"/>
          </w:tcPr>
          <w:p w14:paraId="5171D774">
            <w:pPr>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color w:val="auto"/>
                <w:sz w:val="21"/>
                <w:szCs w:val="21"/>
                <w:highlight w:val="none"/>
                <w:lang w:val="en-US" w:eastAsia="zh-CN"/>
              </w:rPr>
              <w:t>项目负责人</w:t>
            </w:r>
            <w:r>
              <w:rPr>
                <w:rFonts w:hint="eastAsia" w:ascii="仿宋" w:hAnsi="仿宋" w:eastAsia="仿宋" w:cs="仿宋"/>
                <w:color w:val="auto"/>
                <w:sz w:val="21"/>
                <w:szCs w:val="21"/>
                <w:highlight w:val="none"/>
              </w:rPr>
              <w:t>任职资格与业绩</w:t>
            </w:r>
            <w:r>
              <w:rPr>
                <w:rFonts w:hint="eastAsia" w:ascii="仿宋" w:hAnsi="仿宋" w:eastAsia="仿宋" w:cs="仿宋"/>
                <w:color w:val="auto"/>
                <w:sz w:val="21"/>
                <w:szCs w:val="21"/>
                <w:highlight w:val="none"/>
                <w:lang w:val="en-US" w:eastAsia="zh-CN"/>
              </w:rPr>
              <w:t>（JK-SJ1标段）</w:t>
            </w:r>
          </w:p>
        </w:tc>
        <w:tc>
          <w:tcPr>
            <w:tcW w:w="884" w:type="dxa"/>
            <w:shd w:val="clear" w:color="auto" w:fill="auto"/>
            <w:noWrap w:val="0"/>
            <w:vAlign w:val="center"/>
          </w:tcPr>
          <w:p w14:paraId="34F8E8B6">
            <w:pPr>
              <w:jc w:val="center"/>
              <w:rPr>
                <w:rFonts w:hint="eastAsia" w:ascii="仿宋" w:hAnsi="仿宋" w:eastAsia="仿宋" w:cs="仿宋"/>
                <w:b w:val="0"/>
                <w:bCs w:val="0"/>
                <w:color w:val="auto"/>
                <w:sz w:val="21"/>
                <w:szCs w:val="21"/>
                <w:highlight w:val="none"/>
                <w:lang w:val="en-US" w:eastAsia="zh-CN" w:bidi="zh-CN"/>
              </w:rPr>
            </w:pPr>
            <w:r>
              <w:rPr>
                <w:rFonts w:hint="eastAsia" w:ascii="仿宋" w:hAnsi="仿宋" w:eastAsia="仿宋" w:cs="仿宋"/>
                <w:color w:val="auto"/>
                <w:sz w:val="21"/>
                <w:szCs w:val="21"/>
                <w:highlight w:val="none"/>
                <w:lang w:val="en-US" w:eastAsia="zh-CN"/>
              </w:rPr>
              <w:t>20</w:t>
            </w:r>
          </w:p>
        </w:tc>
        <w:tc>
          <w:tcPr>
            <w:tcW w:w="3533" w:type="dxa"/>
            <w:shd w:val="clear" w:color="auto" w:fill="auto"/>
            <w:noWrap w:val="0"/>
            <w:vAlign w:val="center"/>
          </w:tcPr>
          <w:p w14:paraId="1FCB82B3">
            <w:pPr>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通过资格评审即得 12 分</w:t>
            </w:r>
            <w:r>
              <w:rPr>
                <w:rFonts w:hint="eastAsia" w:ascii="仿宋" w:hAnsi="仿宋" w:eastAsia="仿宋" w:cs="仿宋"/>
                <w:color w:val="auto"/>
                <w:sz w:val="21"/>
                <w:szCs w:val="21"/>
                <w:highlight w:val="none"/>
                <w:lang w:eastAsia="zh-CN"/>
              </w:rPr>
              <w:t>。</w:t>
            </w:r>
          </w:p>
          <w:p w14:paraId="23332918">
            <w:pPr>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满足资格审查条件之外，2020 年 1 月 1 日至投标截止时间（以初步设计或施工图设计批复时间为准），每增加 1 个新建或改扩建高速公路勘察设计合同段项目负责人任职业绩加 8 分，此项最多加 8 分。</w:t>
            </w:r>
          </w:p>
        </w:tc>
      </w:tr>
      <w:tr w14:paraId="73A7C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continue"/>
            <w:shd w:val="clear" w:color="auto" w:fill="auto"/>
            <w:noWrap w:val="0"/>
            <w:vAlign w:val="center"/>
          </w:tcPr>
          <w:p w14:paraId="12AA4657">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shd w:val="clear" w:color="auto" w:fill="auto"/>
            <w:noWrap w:val="0"/>
            <w:vAlign w:val="center"/>
          </w:tcPr>
          <w:p w14:paraId="2986DF05">
            <w:pPr>
              <w:spacing w:line="240" w:lineRule="atLeast"/>
              <w:jc w:val="center"/>
              <w:rPr>
                <w:rFonts w:hint="eastAsia" w:ascii="仿宋" w:hAnsi="仿宋" w:eastAsia="仿宋" w:cs="仿宋"/>
                <w:b w:val="0"/>
                <w:bCs w:val="0"/>
                <w:color w:val="auto"/>
                <w:sz w:val="21"/>
                <w:szCs w:val="21"/>
                <w:highlight w:val="none"/>
                <w:lang w:val="en-US" w:eastAsia="zh-CN"/>
              </w:rPr>
            </w:pPr>
          </w:p>
        </w:tc>
        <w:tc>
          <w:tcPr>
            <w:tcW w:w="696" w:type="dxa"/>
            <w:vMerge w:val="continue"/>
            <w:shd w:val="clear" w:color="auto" w:fill="auto"/>
            <w:noWrap w:val="0"/>
            <w:vAlign w:val="center"/>
          </w:tcPr>
          <w:p w14:paraId="14C01C86">
            <w:pPr>
              <w:jc w:val="center"/>
              <w:rPr>
                <w:rFonts w:hint="eastAsia" w:ascii="仿宋" w:hAnsi="仿宋" w:eastAsia="仿宋" w:cs="仿宋"/>
                <w:b w:val="0"/>
                <w:bCs w:val="0"/>
                <w:color w:val="auto"/>
                <w:sz w:val="21"/>
                <w:szCs w:val="21"/>
                <w:highlight w:val="none"/>
                <w:lang w:val="en-US" w:eastAsia="zh-CN"/>
              </w:rPr>
            </w:pPr>
          </w:p>
        </w:tc>
        <w:tc>
          <w:tcPr>
            <w:tcW w:w="2671" w:type="dxa"/>
            <w:shd w:val="clear" w:color="auto" w:fill="auto"/>
            <w:noWrap w:val="0"/>
            <w:vAlign w:val="center"/>
          </w:tcPr>
          <w:p w14:paraId="3A14AA12">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项目负责人</w:t>
            </w:r>
            <w:r>
              <w:rPr>
                <w:rFonts w:hint="eastAsia" w:ascii="仿宋" w:hAnsi="仿宋" w:eastAsia="仿宋" w:cs="仿宋"/>
                <w:color w:val="auto"/>
                <w:sz w:val="21"/>
                <w:szCs w:val="21"/>
                <w:highlight w:val="none"/>
              </w:rPr>
              <w:t>任职资格与业绩</w:t>
            </w:r>
            <w:r>
              <w:rPr>
                <w:rFonts w:hint="eastAsia" w:ascii="仿宋" w:hAnsi="仿宋" w:eastAsia="仿宋" w:cs="仿宋"/>
                <w:color w:val="auto"/>
                <w:sz w:val="21"/>
                <w:szCs w:val="21"/>
                <w:highlight w:val="none"/>
                <w:lang w:val="en-US" w:eastAsia="zh-CN"/>
              </w:rPr>
              <w:t>（JK-ZX1标段）</w:t>
            </w:r>
          </w:p>
        </w:tc>
        <w:tc>
          <w:tcPr>
            <w:tcW w:w="884" w:type="dxa"/>
            <w:shd w:val="clear" w:color="auto" w:fill="auto"/>
            <w:noWrap w:val="0"/>
            <w:vAlign w:val="center"/>
          </w:tcPr>
          <w:p w14:paraId="0877E461">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3533" w:type="dxa"/>
            <w:shd w:val="clear" w:color="auto" w:fill="auto"/>
            <w:noWrap w:val="0"/>
            <w:vAlign w:val="center"/>
          </w:tcPr>
          <w:p w14:paraId="346AD1A7">
            <w:pPr>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通过资格评审即得 12 分。</w:t>
            </w:r>
          </w:p>
          <w:p w14:paraId="33FA42D9">
            <w:pPr>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zh-TW" w:eastAsia="zh-CN"/>
              </w:rPr>
              <w:t>满足资格审查条件之外，2020年1月1日至投标截止时间以初步设计或施工图设计批复时间为准），每增加1个新建或改扩建高速公路勘察设计或设计咨询合同段项目负责人任职业绩加</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TW" w:eastAsia="zh-CN"/>
              </w:rPr>
              <w:t>分，</w:t>
            </w:r>
            <w:r>
              <w:rPr>
                <w:rFonts w:hint="eastAsia" w:ascii="仿宋" w:hAnsi="仿宋" w:eastAsia="仿宋" w:cs="仿宋"/>
                <w:color w:val="auto"/>
                <w:sz w:val="21"/>
                <w:szCs w:val="21"/>
                <w:highlight w:val="none"/>
                <w:lang w:val="en-US" w:eastAsia="zh-CN"/>
              </w:rPr>
              <w:t>此项</w:t>
            </w:r>
            <w:r>
              <w:rPr>
                <w:rFonts w:hint="eastAsia" w:ascii="仿宋" w:hAnsi="仿宋" w:eastAsia="仿宋" w:cs="仿宋"/>
                <w:color w:val="auto"/>
                <w:sz w:val="21"/>
                <w:szCs w:val="21"/>
                <w:highlight w:val="none"/>
                <w:lang w:val="zh-TW" w:eastAsia="zh-CN"/>
              </w:rPr>
              <w:t>最多加</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TW" w:eastAsia="zh-CN"/>
              </w:rPr>
              <w:t>分。</w:t>
            </w:r>
          </w:p>
        </w:tc>
      </w:tr>
      <w:tr w14:paraId="17A1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3" w:hRule="atLeast"/>
        </w:trPr>
        <w:tc>
          <w:tcPr>
            <w:tcW w:w="937" w:type="dxa"/>
            <w:noWrap w:val="0"/>
            <w:vAlign w:val="center"/>
          </w:tcPr>
          <w:p w14:paraId="6F7073D6">
            <w:pPr>
              <w:pStyle w:val="17"/>
              <w:spacing w:line="400" w:lineRule="exact"/>
              <w:ind w:left="119" w:leftChars="0"/>
              <w:rPr>
                <w:rFonts w:hint="eastAsia" w:ascii="仿宋" w:hAnsi="仿宋" w:eastAsia="仿宋" w:cs="仿宋"/>
                <w:b w:val="0"/>
                <w:bCs w:val="0"/>
                <w:color w:val="auto"/>
                <w:sz w:val="21"/>
                <w:szCs w:val="21"/>
                <w:highlight w:val="none"/>
              </w:rPr>
            </w:pPr>
            <w:r>
              <w:rPr>
                <w:rFonts w:hint="eastAsia" w:ascii="仿宋" w:hAnsi="仿宋" w:eastAsia="仿宋" w:cs="仿宋"/>
                <w:sz w:val="21"/>
                <w:szCs w:val="21"/>
                <w:highlight w:val="none"/>
              </w:rPr>
              <w:t>2.2.4（3）</w:t>
            </w:r>
          </w:p>
        </w:tc>
        <w:tc>
          <w:tcPr>
            <w:tcW w:w="637" w:type="dxa"/>
            <w:noWrap w:val="0"/>
            <w:vAlign w:val="center"/>
          </w:tcPr>
          <w:p w14:paraId="376DA738">
            <w:pPr>
              <w:pStyle w:val="17"/>
              <w:spacing w:line="240" w:lineRule="atLeast"/>
              <w:jc w:val="center"/>
              <w:rPr>
                <w:rFonts w:hint="eastAsia" w:ascii="仿宋" w:hAnsi="仿宋" w:eastAsia="仿宋" w:cs="仿宋"/>
                <w:b w:val="0"/>
                <w:bCs w:val="0"/>
                <w:color w:val="auto"/>
                <w:sz w:val="21"/>
                <w:szCs w:val="21"/>
                <w:highlight w:val="none"/>
              </w:rPr>
            </w:pPr>
          </w:p>
          <w:p w14:paraId="10105B85">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w:t>
            </w:r>
          </w:p>
          <w:p w14:paraId="651FA544">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标</w:t>
            </w:r>
          </w:p>
          <w:p w14:paraId="6BD29ADB">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价</w:t>
            </w:r>
          </w:p>
        </w:tc>
        <w:tc>
          <w:tcPr>
            <w:tcW w:w="696" w:type="dxa"/>
            <w:noWrap w:val="0"/>
            <w:vAlign w:val="center"/>
          </w:tcPr>
          <w:p w14:paraId="2F4F93C9">
            <w:pPr>
              <w:pStyle w:val="17"/>
              <w:spacing w:line="400" w:lineRule="exact"/>
              <w:ind w:left="220" w:leftChars="0" w:right="186" w:rightChars="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sz w:val="21"/>
                <w:szCs w:val="21"/>
                <w:highlight w:val="none"/>
              </w:rPr>
              <w:t>10 分</w:t>
            </w:r>
          </w:p>
        </w:tc>
        <w:tc>
          <w:tcPr>
            <w:tcW w:w="7088" w:type="dxa"/>
            <w:gridSpan w:val="3"/>
            <w:noWrap w:val="0"/>
            <w:vAlign w:val="center"/>
          </w:tcPr>
          <w:p w14:paraId="7EBA3DAC">
            <w:pPr>
              <w:pStyle w:val="17"/>
              <w:keepNext w:val="0"/>
              <w:keepLines w:val="0"/>
              <w:pageBreakBefore w:val="0"/>
              <w:widowControl w:val="0"/>
              <w:kinsoku/>
              <w:wordWrap/>
              <w:overflowPunct/>
              <w:topLinePunct w:val="0"/>
              <w:autoSpaceDE/>
              <w:autoSpaceDN/>
              <w:bidi w:val="0"/>
              <w:adjustRightInd/>
              <w:snapToGrid/>
              <w:spacing w:line="360" w:lineRule="exact"/>
              <w:ind w:left="117"/>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JK-SJ1、JK-ZX1：</w:t>
            </w:r>
          </w:p>
          <w:p w14:paraId="2A476EE6">
            <w:pPr>
              <w:pStyle w:val="17"/>
              <w:keepNext w:val="0"/>
              <w:keepLines w:val="0"/>
              <w:pageBreakBefore w:val="0"/>
              <w:widowControl w:val="0"/>
              <w:kinsoku/>
              <w:wordWrap/>
              <w:overflowPunct/>
              <w:topLinePunct w:val="0"/>
              <w:autoSpaceDE/>
              <w:autoSpaceDN/>
              <w:bidi w:val="0"/>
              <w:adjustRightInd/>
              <w:snapToGrid/>
              <w:spacing w:line="360" w:lineRule="exact"/>
              <w:ind w:left="117"/>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评标价得分计算公式示例：</w:t>
            </w:r>
          </w:p>
          <w:p w14:paraId="3C76412C">
            <w:pPr>
              <w:pStyle w:val="17"/>
              <w:keepNext w:val="0"/>
              <w:keepLines w:val="0"/>
              <w:pageBreakBefore w:val="0"/>
              <w:widowControl w:val="0"/>
              <w:tabs>
                <w:tab w:val="left" w:pos="647"/>
              </w:tabs>
              <w:kinsoku/>
              <w:wordWrap/>
              <w:overflowPunct/>
              <w:topLinePunct w:val="0"/>
              <w:autoSpaceDE/>
              <w:autoSpaceDN/>
              <w:bidi w:val="0"/>
              <w:adjustRightInd/>
              <w:snapToGrid/>
              <w:spacing w:line="360" w:lineRule="exact"/>
              <w:ind w:left="116"/>
              <w:textAlignment w:val="auto"/>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w:t>
            </w:r>
            <w:r>
              <w:rPr>
                <w:rFonts w:hint="eastAsia" w:ascii="仿宋" w:hAnsi="仿宋" w:eastAsia="仿宋" w:cs="仿宋"/>
                <w:spacing w:val="-1"/>
                <w:sz w:val="21"/>
                <w:szCs w:val="21"/>
                <w:highlight w:val="none"/>
                <w:lang w:val="en-US"/>
              </w:rPr>
              <w:t>1</w:t>
            </w:r>
            <w:r>
              <w:rPr>
                <w:rFonts w:hint="eastAsia" w:ascii="仿宋" w:hAnsi="仿宋" w:eastAsia="仿宋" w:cs="仿宋"/>
                <w:spacing w:val="-1"/>
                <w:sz w:val="21"/>
                <w:szCs w:val="21"/>
                <w:highlight w:val="none"/>
              </w:rPr>
              <w:t>）如果投标人的评标价&gt;评标基准价，则评标价得分</w:t>
            </w:r>
            <w:r>
              <w:rPr>
                <w:rFonts w:hint="eastAsia" w:ascii="仿宋" w:hAnsi="仿宋" w:eastAsia="仿宋" w:cs="仿宋"/>
                <w:position w:val="1"/>
                <w:sz w:val="21"/>
                <w:szCs w:val="21"/>
                <w:highlight w:val="none"/>
              </w:rPr>
              <w:t>=10-偏差率×100×E</w:t>
            </w:r>
            <w:r>
              <w:rPr>
                <w:rFonts w:hint="eastAsia" w:ascii="仿宋" w:hAnsi="仿宋" w:eastAsia="仿宋" w:cs="仿宋"/>
                <w:sz w:val="21"/>
                <w:szCs w:val="21"/>
                <w:highlight w:val="none"/>
              </w:rPr>
              <w:t>1</w:t>
            </w:r>
            <w:r>
              <w:rPr>
                <w:rFonts w:hint="eastAsia" w:ascii="仿宋" w:hAnsi="仿宋" w:eastAsia="仿宋" w:cs="仿宋"/>
                <w:position w:val="1"/>
                <w:sz w:val="21"/>
                <w:szCs w:val="21"/>
                <w:highlight w:val="none"/>
              </w:rPr>
              <w:t>；</w:t>
            </w:r>
          </w:p>
          <w:p w14:paraId="51B164EC">
            <w:pPr>
              <w:pStyle w:val="17"/>
              <w:keepNext w:val="0"/>
              <w:keepLines w:val="0"/>
              <w:pageBreakBefore w:val="0"/>
              <w:widowControl w:val="0"/>
              <w:tabs>
                <w:tab w:val="left" w:pos="647"/>
              </w:tabs>
              <w:kinsoku/>
              <w:wordWrap/>
              <w:overflowPunct/>
              <w:topLinePunct w:val="0"/>
              <w:autoSpaceDE/>
              <w:autoSpaceDN/>
              <w:bidi w:val="0"/>
              <w:adjustRightInd/>
              <w:snapToGrid/>
              <w:spacing w:line="360" w:lineRule="exact"/>
              <w:ind w:left="116"/>
              <w:textAlignment w:val="auto"/>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w:t>
            </w:r>
            <w:r>
              <w:rPr>
                <w:rFonts w:hint="eastAsia" w:ascii="仿宋" w:hAnsi="仿宋" w:eastAsia="仿宋" w:cs="仿宋"/>
                <w:spacing w:val="-6"/>
                <w:sz w:val="21"/>
                <w:szCs w:val="21"/>
                <w:highlight w:val="none"/>
                <w:lang w:val="en-US"/>
              </w:rPr>
              <w:t>2</w:t>
            </w:r>
            <w:r>
              <w:rPr>
                <w:rFonts w:hint="eastAsia" w:ascii="仿宋" w:hAnsi="仿宋" w:eastAsia="仿宋" w:cs="仿宋"/>
                <w:spacing w:val="-6"/>
                <w:sz w:val="21"/>
                <w:szCs w:val="21"/>
                <w:highlight w:val="none"/>
              </w:rPr>
              <w:t>）如果投标人的评标价≤评标基准价，则评标价得分</w:t>
            </w:r>
            <w:r>
              <w:rPr>
                <w:rFonts w:hint="eastAsia" w:ascii="仿宋" w:hAnsi="仿宋" w:eastAsia="仿宋" w:cs="仿宋"/>
                <w:position w:val="1"/>
                <w:sz w:val="21"/>
                <w:szCs w:val="21"/>
                <w:highlight w:val="none"/>
              </w:rPr>
              <w:t>=10+偏差率×100×E</w:t>
            </w:r>
            <w:r>
              <w:rPr>
                <w:rFonts w:hint="eastAsia" w:ascii="仿宋" w:hAnsi="仿宋" w:eastAsia="仿宋" w:cs="仿宋"/>
                <w:sz w:val="21"/>
                <w:szCs w:val="21"/>
                <w:highlight w:val="none"/>
              </w:rPr>
              <w:t>2</w:t>
            </w:r>
            <w:r>
              <w:rPr>
                <w:rFonts w:hint="eastAsia" w:ascii="仿宋" w:hAnsi="仿宋" w:eastAsia="仿宋" w:cs="仿宋"/>
                <w:position w:val="1"/>
                <w:sz w:val="21"/>
                <w:szCs w:val="21"/>
                <w:highlight w:val="none"/>
              </w:rPr>
              <w:t>。</w:t>
            </w:r>
          </w:p>
          <w:p w14:paraId="09D368BB">
            <w:pPr>
              <w:pStyle w:val="17"/>
              <w:keepNext w:val="0"/>
              <w:keepLines w:val="0"/>
              <w:pageBreakBefore w:val="0"/>
              <w:widowControl w:val="0"/>
              <w:kinsoku/>
              <w:wordWrap/>
              <w:overflowPunct/>
              <w:topLinePunct w:val="0"/>
              <w:autoSpaceDE/>
              <w:autoSpaceDN/>
              <w:bidi w:val="0"/>
              <w:adjustRightInd/>
              <w:snapToGrid/>
              <w:spacing w:line="360" w:lineRule="exact"/>
              <w:ind w:left="117" w:right="68"/>
              <w:textAlignment w:val="auto"/>
              <w:rPr>
                <w:rFonts w:hint="eastAsia" w:ascii="仿宋" w:hAnsi="仿宋" w:eastAsia="仿宋" w:cs="仿宋"/>
                <w:sz w:val="21"/>
                <w:szCs w:val="21"/>
                <w:highlight w:val="none"/>
              </w:rPr>
            </w:pPr>
            <w:r>
              <w:rPr>
                <w:rFonts w:hint="eastAsia" w:ascii="仿宋" w:hAnsi="仿宋" w:eastAsia="仿宋" w:cs="仿宋"/>
                <w:position w:val="1"/>
                <w:sz w:val="21"/>
                <w:szCs w:val="21"/>
                <w:highlight w:val="none"/>
              </w:rPr>
              <w:t>其中：E</w:t>
            </w:r>
            <w:r>
              <w:rPr>
                <w:rFonts w:hint="eastAsia" w:ascii="仿宋" w:hAnsi="仿宋" w:eastAsia="仿宋" w:cs="仿宋"/>
                <w:sz w:val="21"/>
                <w:szCs w:val="21"/>
                <w:highlight w:val="none"/>
              </w:rPr>
              <w:t>1</w:t>
            </w:r>
            <w:r>
              <w:rPr>
                <w:rFonts w:hint="eastAsia" w:ascii="仿宋" w:hAnsi="仿宋" w:eastAsia="仿宋" w:cs="仿宋"/>
                <w:position w:val="1"/>
                <w:sz w:val="21"/>
                <w:szCs w:val="21"/>
                <w:highlight w:val="none"/>
              </w:rPr>
              <w:t>=</w:t>
            </w:r>
            <w:r>
              <w:rPr>
                <w:rFonts w:hint="eastAsia" w:ascii="仿宋" w:hAnsi="仿宋" w:eastAsia="仿宋" w:cs="仿宋"/>
                <w:position w:val="1"/>
                <w:sz w:val="21"/>
                <w:szCs w:val="21"/>
                <w:highlight w:val="none"/>
                <w:lang w:val="en-US" w:eastAsia="zh-CN"/>
              </w:rPr>
              <w:t>0.2</w:t>
            </w:r>
            <w:r>
              <w:rPr>
                <w:rFonts w:hint="eastAsia" w:ascii="仿宋" w:hAnsi="仿宋" w:eastAsia="仿宋" w:cs="仿宋"/>
                <w:position w:val="1"/>
                <w:sz w:val="21"/>
                <w:szCs w:val="21"/>
                <w:highlight w:val="none"/>
              </w:rPr>
              <w:t>，是评标价每高于评标基准价一个百分点的扣分值；E</w:t>
            </w:r>
            <w:r>
              <w:rPr>
                <w:rFonts w:hint="eastAsia" w:ascii="仿宋" w:hAnsi="仿宋" w:eastAsia="仿宋" w:cs="仿宋"/>
                <w:sz w:val="21"/>
                <w:szCs w:val="21"/>
                <w:highlight w:val="none"/>
              </w:rPr>
              <w:t>2</w:t>
            </w:r>
            <w:r>
              <w:rPr>
                <w:rFonts w:hint="eastAsia" w:ascii="仿宋" w:hAnsi="仿宋" w:eastAsia="仿宋" w:cs="仿宋"/>
                <w:position w:val="1"/>
                <w:sz w:val="21"/>
                <w:szCs w:val="21"/>
                <w:highlight w:val="none"/>
              </w:rPr>
              <w:t>=</w:t>
            </w:r>
            <w:r>
              <w:rPr>
                <w:rFonts w:hint="eastAsia" w:ascii="仿宋" w:hAnsi="仿宋" w:eastAsia="仿宋" w:cs="仿宋"/>
                <w:position w:val="1"/>
                <w:sz w:val="21"/>
                <w:szCs w:val="21"/>
                <w:highlight w:val="none"/>
                <w:lang w:val="en-US" w:eastAsia="zh-CN"/>
              </w:rPr>
              <w:t>0.1</w:t>
            </w:r>
            <w:r>
              <w:rPr>
                <w:rFonts w:hint="eastAsia" w:ascii="仿宋" w:hAnsi="仿宋" w:eastAsia="仿宋" w:cs="仿宋"/>
                <w:position w:val="1"/>
                <w:sz w:val="21"/>
                <w:szCs w:val="21"/>
                <w:highlight w:val="none"/>
              </w:rPr>
              <w:t>，是评标价每低于评标基准价一个百分</w:t>
            </w:r>
            <w:r>
              <w:rPr>
                <w:rFonts w:hint="eastAsia" w:ascii="仿宋" w:hAnsi="仿宋" w:eastAsia="仿宋" w:cs="仿宋"/>
                <w:sz w:val="21"/>
                <w:szCs w:val="21"/>
                <w:highlight w:val="none"/>
              </w:rPr>
              <w:t>点的扣分值；</w:t>
            </w:r>
          </w:p>
          <w:p w14:paraId="1F448E04">
            <w:pPr>
              <w:pStyle w:val="17"/>
              <w:keepNext w:val="0"/>
              <w:keepLines w:val="0"/>
              <w:pageBreakBefore w:val="0"/>
              <w:widowControl w:val="0"/>
              <w:kinsoku/>
              <w:wordWrap/>
              <w:overflowPunct/>
              <w:topLinePunct w:val="0"/>
              <w:autoSpaceDE/>
              <w:autoSpaceDN/>
              <w:bidi w:val="0"/>
              <w:adjustRightInd/>
              <w:snapToGrid/>
              <w:spacing w:line="360" w:lineRule="exact"/>
              <w:ind w:left="117"/>
              <w:textAlignment w:val="auto"/>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spacing w:val="-13"/>
                <w:sz w:val="21"/>
                <w:szCs w:val="21"/>
                <w:highlight w:val="none"/>
              </w:rPr>
              <w:t>评标价得分分值保留小数点后两位，小数点后第三位“四</w:t>
            </w:r>
            <w:r>
              <w:rPr>
                <w:rFonts w:hint="eastAsia" w:ascii="仿宋" w:hAnsi="仿宋" w:eastAsia="仿宋" w:cs="仿宋"/>
                <w:sz w:val="21"/>
                <w:szCs w:val="21"/>
                <w:highlight w:val="none"/>
              </w:rPr>
              <w:t>舍五入”；评标价得分最低为 0 分。</w:t>
            </w:r>
          </w:p>
        </w:tc>
      </w:tr>
      <w:tr w14:paraId="69C9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trPr>
        <w:tc>
          <w:tcPr>
            <w:tcW w:w="937" w:type="dxa"/>
            <w:vMerge w:val="restart"/>
            <w:noWrap w:val="0"/>
            <w:vAlign w:val="center"/>
          </w:tcPr>
          <w:p w14:paraId="10A4ABBC">
            <w:pPr>
              <w:pStyle w:val="17"/>
              <w:spacing w:before="127"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46F4E206">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rPr>
              <w:t>4</w:t>
            </w:r>
            <w:r>
              <w:rPr>
                <w:rFonts w:hint="eastAsia" w:ascii="仿宋" w:hAnsi="仿宋" w:eastAsia="仿宋" w:cs="仿宋"/>
                <w:b w:val="0"/>
                <w:bCs w:val="0"/>
                <w:color w:val="auto"/>
                <w:sz w:val="21"/>
                <w:szCs w:val="21"/>
                <w:highlight w:val="none"/>
              </w:rPr>
              <w:t>）</w:t>
            </w:r>
          </w:p>
        </w:tc>
        <w:tc>
          <w:tcPr>
            <w:tcW w:w="637" w:type="dxa"/>
            <w:vMerge w:val="restart"/>
            <w:noWrap w:val="0"/>
            <w:vAlign w:val="center"/>
          </w:tcPr>
          <w:p w14:paraId="40DA422A">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其</w:t>
            </w:r>
          </w:p>
          <w:p w14:paraId="3C0B1ED1">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他</w:t>
            </w:r>
          </w:p>
          <w:p w14:paraId="05B6EC03">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因</w:t>
            </w:r>
          </w:p>
          <w:p w14:paraId="46768C09">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素</w:t>
            </w:r>
          </w:p>
        </w:tc>
        <w:tc>
          <w:tcPr>
            <w:tcW w:w="696" w:type="dxa"/>
            <w:vMerge w:val="restart"/>
            <w:noWrap w:val="0"/>
            <w:vAlign w:val="center"/>
          </w:tcPr>
          <w:p w14:paraId="77E42BC5">
            <w:pPr>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业</w:t>
            </w:r>
          </w:p>
          <w:p w14:paraId="4E40AB20">
            <w:pPr>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绩</w:t>
            </w:r>
          </w:p>
          <w:p w14:paraId="2C6EA2D7">
            <w:pPr>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20分</w:t>
            </w:r>
          </w:p>
        </w:tc>
        <w:tc>
          <w:tcPr>
            <w:tcW w:w="2671" w:type="dxa"/>
            <w:noWrap w:val="0"/>
            <w:vAlign w:val="center"/>
          </w:tcPr>
          <w:p w14:paraId="2856C04A">
            <w:pPr>
              <w:pStyle w:val="17"/>
              <w:spacing w:line="240" w:lineRule="atLeast"/>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JK-SJ1标段</w:t>
            </w:r>
          </w:p>
        </w:tc>
        <w:tc>
          <w:tcPr>
            <w:tcW w:w="4417" w:type="dxa"/>
            <w:gridSpan w:val="2"/>
            <w:noWrap w:val="0"/>
            <w:vAlign w:val="center"/>
          </w:tcPr>
          <w:p w14:paraId="1EB93406">
            <w:pPr>
              <w:pStyle w:val="17"/>
              <w:spacing w:line="240" w:lineRule="atLeast"/>
              <w:ind w:left="105" w:leftChars="50" w:right="105" w:rightChars="50"/>
              <w:jc w:val="both"/>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kern w:val="2"/>
                <w:sz w:val="21"/>
                <w:szCs w:val="21"/>
                <w:highlight w:val="none"/>
                <w:lang w:val="en-US" w:eastAsia="zh-CN" w:bidi="ar-SA"/>
              </w:rPr>
              <w:t>通过资格评审即得 12 分，</w:t>
            </w:r>
            <w:r>
              <w:rPr>
                <w:rFonts w:hint="eastAsia" w:ascii="仿宋" w:hAnsi="仿宋" w:eastAsia="仿宋" w:cs="仿宋"/>
                <w:b w:val="0"/>
                <w:bCs w:val="0"/>
                <w:color w:val="auto"/>
                <w:kern w:val="2"/>
                <w:sz w:val="21"/>
                <w:szCs w:val="21"/>
                <w:highlight w:val="none"/>
                <w:lang w:val="zh-TW" w:eastAsia="zh-CN" w:bidi="ar-SA"/>
              </w:rPr>
              <w:t>满足资格审查条件之外，2020年1月1日至投标截止时间以初步设计或施工图设计批复时间为准），每增加1个新建或改扩建高速公路勘察设计合同段业绩加</w:t>
            </w:r>
            <w:r>
              <w:rPr>
                <w:rFonts w:hint="eastAsia" w:ascii="仿宋" w:hAnsi="仿宋" w:eastAsia="仿宋" w:cs="仿宋"/>
                <w:b w:val="0"/>
                <w:bCs w:val="0"/>
                <w:color w:val="auto"/>
                <w:kern w:val="2"/>
                <w:sz w:val="21"/>
                <w:szCs w:val="21"/>
                <w:highlight w:val="none"/>
                <w:lang w:val="en-US" w:eastAsia="zh-CN" w:bidi="ar-SA"/>
              </w:rPr>
              <w:t>4</w:t>
            </w:r>
            <w:r>
              <w:rPr>
                <w:rFonts w:hint="eastAsia" w:ascii="仿宋" w:hAnsi="仿宋" w:eastAsia="仿宋" w:cs="仿宋"/>
                <w:b w:val="0"/>
                <w:bCs w:val="0"/>
                <w:color w:val="auto"/>
                <w:kern w:val="2"/>
                <w:sz w:val="21"/>
                <w:szCs w:val="21"/>
                <w:highlight w:val="none"/>
                <w:lang w:val="zh-TW" w:eastAsia="zh-CN" w:bidi="ar-SA"/>
              </w:rPr>
              <w:t>分，最多加8分。</w:t>
            </w:r>
          </w:p>
        </w:tc>
      </w:tr>
      <w:tr w14:paraId="3BA9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27" w:hRule="atLeast"/>
        </w:trPr>
        <w:tc>
          <w:tcPr>
            <w:tcW w:w="937" w:type="dxa"/>
            <w:vMerge w:val="continue"/>
            <w:noWrap w:val="0"/>
            <w:vAlign w:val="center"/>
          </w:tcPr>
          <w:p w14:paraId="01A769D2">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center"/>
          </w:tcPr>
          <w:p w14:paraId="5E18B4B4">
            <w:pPr>
              <w:spacing w:line="240" w:lineRule="atLeast"/>
              <w:jc w:val="center"/>
              <w:rPr>
                <w:rFonts w:hint="eastAsia" w:ascii="仿宋" w:hAnsi="仿宋" w:eastAsia="仿宋" w:cs="仿宋"/>
                <w:b w:val="0"/>
                <w:bCs w:val="0"/>
                <w:color w:val="auto"/>
                <w:sz w:val="21"/>
                <w:szCs w:val="21"/>
                <w:highlight w:val="none"/>
              </w:rPr>
            </w:pPr>
          </w:p>
        </w:tc>
        <w:tc>
          <w:tcPr>
            <w:tcW w:w="696" w:type="dxa"/>
            <w:vMerge w:val="continue"/>
            <w:noWrap w:val="0"/>
            <w:vAlign w:val="center"/>
          </w:tcPr>
          <w:p w14:paraId="1564C90E">
            <w:pPr>
              <w:jc w:val="center"/>
              <w:rPr>
                <w:rFonts w:hint="eastAsia" w:ascii="仿宋" w:hAnsi="仿宋" w:eastAsia="仿宋" w:cs="仿宋"/>
                <w:b w:val="0"/>
                <w:bCs w:val="0"/>
                <w:color w:val="auto"/>
                <w:sz w:val="21"/>
                <w:szCs w:val="21"/>
                <w:highlight w:val="none"/>
                <w:lang w:val="en-US" w:eastAsia="zh-CN"/>
              </w:rPr>
            </w:pPr>
          </w:p>
        </w:tc>
        <w:tc>
          <w:tcPr>
            <w:tcW w:w="2671" w:type="dxa"/>
            <w:noWrap w:val="0"/>
            <w:vAlign w:val="center"/>
          </w:tcPr>
          <w:p w14:paraId="3306CE58">
            <w:pPr>
              <w:pStyle w:val="17"/>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sz w:val="21"/>
                <w:szCs w:val="21"/>
                <w:highlight w:val="none"/>
                <w:lang w:val="en-US" w:eastAsia="zh-CN"/>
              </w:rPr>
              <w:t>JK-ZX1标段</w:t>
            </w:r>
          </w:p>
        </w:tc>
        <w:tc>
          <w:tcPr>
            <w:tcW w:w="4417" w:type="dxa"/>
            <w:gridSpan w:val="2"/>
            <w:noWrap w:val="0"/>
            <w:vAlign w:val="center"/>
          </w:tcPr>
          <w:p w14:paraId="6F69B88B">
            <w:pP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kern w:val="2"/>
                <w:sz w:val="21"/>
                <w:szCs w:val="21"/>
                <w:highlight w:val="none"/>
                <w:lang w:val="en-US" w:eastAsia="zh-CN" w:bidi="ar-SA"/>
              </w:rPr>
              <w:t>通过资格评审即得 12 分，</w:t>
            </w:r>
            <w:r>
              <w:rPr>
                <w:rFonts w:hint="eastAsia" w:ascii="仿宋" w:hAnsi="仿宋" w:eastAsia="仿宋" w:cs="仿宋"/>
                <w:b w:val="0"/>
                <w:bCs w:val="0"/>
                <w:color w:val="auto"/>
                <w:kern w:val="2"/>
                <w:sz w:val="21"/>
                <w:szCs w:val="21"/>
                <w:highlight w:val="none"/>
                <w:lang w:val="zh-TW" w:eastAsia="zh-CN" w:bidi="ar-SA"/>
              </w:rPr>
              <w:t>满足资格审查条件之外，2020年1月1日至投标截止时间以初步设计或施工图设计批复时间为准），每增加1个新建或改扩建高速公路勘察设计或设计咨询合同段业绩加</w:t>
            </w:r>
            <w:r>
              <w:rPr>
                <w:rFonts w:hint="eastAsia" w:ascii="仿宋" w:hAnsi="仿宋" w:eastAsia="仿宋" w:cs="仿宋"/>
                <w:b w:val="0"/>
                <w:bCs w:val="0"/>
                <w:color w:val="auto"/>
                <w:kern w:val="2"/>
                <w:sz w:val="21"/>
                <w:szCs w:val="21"/>
                <w:highlight w:val="none"/>
                <w:lang w:val="en-US" w:eastAsia="zh-CN" w:bidi="ar-SA"/>
              </w:rPr>
              <w:t>4</w:t>
            </w:r>
            <w:r>
              <w:rPr>
                <w:rFonts w:hint="eastAsia" w:ascii="仿宋" w:hAnsi="仿宋" w:eastAsia="仿宋" w:cs="仿宋"/>
                <w:b w:val="0"/>
                <w:bCs w:val="0"/>
                <w:color w:val="auto"/>
                <w:kern w:val="2"/>
                <w:sz w:val="21"/>
                <w:szCs w:val="21"/>
                <w:highlight w:val="none"/>
                <w:lang w:val="zh-TW" w:eastAsia="zh-CN" w:bidi="ar-SA"/>
              </w:rPr>
              <w:t>分，最多加8分。</w:t>
            </w:r>
          </w:p>
        </w:tc>
      </w:tr>
      <w:tr w14:paraId="00D4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atLeast"/>
        </w:trPr>
        <w:tc>
          <w:tcPr>
            <w:tcW w:w="937" w:type="dxa"/>
            <w:vMerge w:val="continue"/>
            <w:noWrap w:val="0"/>
            <w:vAlign w:val="center"/>
          </w:tcPr>
          <w:p w14:paraId="4375A6E4">
            <w:pPr>
              <w:pStyle w:val="17"/>
              <w:spacing w:before="127"/>
              <w:ind w:left="124"/>
              <w:jc w:val="center"/>
              <w:rPr>
                <w:rFonts w:hint="eastAsia" w:ascii="仿宋" w:hAnsi="仿宋" w:eastAsia="仿宋" w:cs="仿宋"/>
                <w:b w:val="0"/>
                <w:bCs w:val="0"/>
                <w:color w:val="auto"/>
                <w:sz w:val="21"/>
                <w:szCs w:val="21"/>
                <w:highlight w:val="none"/>
              </w:rPr>
            </w:pPr>
          </w:p>
        </w:tc>
        <w:tc>
          <w:tcPr>
            <w:tcW w:w="637" w:type="dxa"/>
            <w:vMerge w:val="continue"/>
            <w:noWrap w:val="0"/>
            <w:vAlign w:val="center"/>
          </w:tcPr>
          <w:p w14:paraId="7CF6AECE">
            <w:pPr>
              <w:jc w:val="center"/>
              <w:rPr>
                <w:rFonts w:hint="eastAsia" w:ascii="仿宋" w:hAnsi="仿宋" w:eastAsia="仿宋" w:cs="仿宋"/>
                <w:b w:val="0"/>
                <w:bCs w:val="0"/>
                <w:color w:val="auto"/>
                <w:sz w:val="21"/>
                <w:szCs w:val="21"/>
                <w:highlight w:val="none"/>
              </w:rPr>
            </w:pPr>
          </w:p>
        </w:tc>
        <w:tc>
          <w:tcPr>
            <w:tcW w:w="696" w:type="dxa"/>
            <w:shd w:val="clear" w:color="auto" w:fill="auto"/>
            <w:noWrap w:val="0"/>
            <w:vAlign w:val="center"/>
          </w:tcPr>
          <w:p w14:paraId="2635A1C2">
            <w:pPr>
              <w:spacing w:line="240" w:lineRule="atLeast"/>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rPr>
              <w:t>信誉</w:t>
            </w:r>
          </w:p>
        </w:tc>
        <w:tc>
          <w:tcPr>
            <w:tcW w:w="2671" w:type="dxa"/>
            <w:shd w:val="clear" w:color="auto" w:fill="auto"/>
            <w:noWrap w:val="0"/>
            <w:vAlign w:val="center"/>
          </w:tcPr>
          <w:p w14:paraId="6549AD84">
            <w:pPr>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rPr>
              <w:t>5</w:t>
            </w:r>
            <w:r>
              <w:rPr>
                <w:rFonts w:hint="eastAsia" w:ascii="仿宋" w:hAnsi="仿宋" w:eastAsia="仿宋" w:cs="仿宋"/>
                <w:b w:val="0"/>
                <w:bCs w:val="0"/>
                <w:color w:val="auto"/>
                <w:sz w:val="21"/>
                <w:szCs w:val="21"/>
                <w:highlight w:val="none"/>
                <w:lang w:val="en-US" w:eastAsia="zh-CN"/>
              </w:rPr>
              <w:t>分</w:t>
            </w:r>
          </w:p>
        </w:tc>
        <w:tc>
          <w:tcPr>
            <w:tcW w:w="4417" w:type="dxa"/>
            <w:gridSpan w:val="2"/>
            <w:noWrap w:val="0"/>
            <w:vAlign w:val="center"/>
          </w:tcPr>
          <w:p w14:paraId="1C1D80E1">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JK-SJ1：</w:t>
            </w:r>
          </w:p>
          <w:p w14:paraId="5033112E">
            <w:pPr>
              <w:ind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根据陕西省交通运输厅《关于陕西省 2024 年度公路建设市场从业企业信用评价结果应用的通知》（陕交函〔2025〕639 号）文件规定：</w:t>
            </w:r>
          </w:p>
          <w:p w14:paraId="65077F38">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1.按照公路设计企业的信用评价等级进行评分，信用评价等级为AA 级的设计企业得 5 分；信用评价等级为 A 级的设计企业得 4.5</w:t>
            </w:r>
          </w:p>
          <w:p w14:paraId="6E360568">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分；信用评价等级为 B 级的高速公路设计企业得 4 分；信用评价等级为 C 级的高速公路设计企业得 3 分。</w:t>
            </w:r>
          </w:p>
          <w:p w14:paraId="0EB218B5">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2、对具有省厅 2023 年度信用评价等级而无2024 年度信用评价等级的企业，其 2023 年度信用评价等级延续 1 年。</w:t>
            </w:r>
          </w:p>
          <w:p w14:paraId="4260AF26">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3、初次进入陕西省的从业企业，按照全国综合信用评价等级确定。延续省厅上一年信用评价结果后仍无信用评价结果的，按照全国综合评价结果对待。无全国综合评价结果的企业，且无不良信用行为，可按 A 级对待。</w:t>
            </w:r>
          </w:p>
          <w:p w14:paraId="1496D6C8">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4.联合体投标的，信用评价等级以牵头人为准。</w:t>
            </w:r>
          </w:p>
          <w:p w14:paraId="33077A9A">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JK-ZX1 标段：</w:t>
            </w:r>
          </w:p>
          <w:p w14:paraId="60E16EFB">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具备公路专业工程咨询单位甲级资信证书得 5 分；具备公路专业</w:t>
            </w:r>
          </w:p>
          <w:p w14:paraId="4BDC75B5">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工程咨询单位乙级资信证书得 3 分。</w:t>
            </w:r>
          </w:p>
        </w:tc>
      </w:tr>
      <w:tr w14:paraId="4756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atLeast"/>
        </w:trPr>
        <w:tc>
          <w:tcPr>
            <w:tcW w:w="9358" w:type="dxa"/>
            <w:gridSpan w:val="6"/>
            <w:noWrap w:val="0"/>
            <w:vAlign w:val="center"/>
          </w:tcPr>
          <w:p w14:paraId="099467F3">
            <w:pPr>
              <w:pStyle w:val="17"/>
              <w:spacing w:line="320" w:lineRule="atLeast"/>
              <w:ind w:left="105" w:leftChars="50" w:firstLine="199" w:firstLineChars="100"/>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w w:val="95"/>
                <w:sz w:val="21"/>
                <w:szCs w:val="21"/>
                <w:highlight w:val="none"/>
              </w:rPr>
              <w:t>需要补充的其他内容：</w:t>
            </w:r>
            <w:r>
              <w:rPr>
                <w:rFonts w:hint="eastAsia" w:ascii="仿宋" w:hAnsi="仿宋" w:eastAsia="仿宋" w:cs="仿宋"/>
                <w:b w:val="0"/>
                <w:bCs w:val="0"/>
                <w:color w:val="auto"/>
                <w:w w:val="95"/>
                <w:sz w:val="21"/>
                <w:szCs w:val="21"/>
                <w:highlight w:val="none"/>
                <w:lang w:val="en-US" w:eastAsia="zh-CN"/>
              </w:rPr>
              <w:t>技术建议书专家打分保留一位小数。</w:t>
            </w:r>
          </w:p>
        </w:tc>
      </w:tr>
    </w:tbl>
    <w:p w14:paraId="59629169">
      <w:pPr>
        <w:rPr>
          <w:rFonts w:hint="default"/>
          <w:highlight w:val="none"/>
          <w:lang w:val="en-US" w:eastAsia="zh-CN"/>
        </w:rPr>
      </w:pPr>
    </w:p>
    <w:p w14:paraId="4127EF4C">
      <w:pPr>
        <w:pStyle w:val="3"/>
        <w:rPr>
          <w:rFonts w:hint="default"/>
          <w:highlight w:val="none"/>
          <w:lang w:val="en-US" w:eastAsia="zh-CN"/>
        </w:rPr>
      </w:pPr>
    </w:p>
    <w:p w14:paraId="67A59AF0">
      <w:pPr>
        <w:rPr>
          <w:rFonts w:hint="default"/>
          <w:highlight w:val="none"/>
          <w:lang w:val="en-US" w:eastAsia="zh-CN"/>
        </w:rPr>
      </w:pPr>
    </w:p>
    <w:p w14:paraId="7FD878C2">
      <w:pPr>
        <w:rPr>
          <w:rFonts w:hint="default"/>
          <w:highlight w:val="none"/>
          <w:lang w:val="en-US" w:eastAsia="zh-CN"/>
        </w:rPr>
      </w:pPr>
    </w:p>
    <w:p w14:paraId="0F456470">
      <w:pPr>
        <w:rPr>
          <w:rFonts w:hint="default"/>
          <w:highlight w:val="none"/>
          <w:lang w:val="en-US" w:eastAsia="zh-CN"/>
        </w:rPr>
      </w:pPr>
    </w:p>
    <w:p w14:paraId="1984CEF9">
      <w:pPr>
        <w:rPr>
          <w:rFonts w:hint="default"/>
          <w:highlight w:val="none"/>
          <w:lang w:val="en-US" w:eastAsia="zh-CN"/>
        </w:rPr>
      </w:pPr>
    </w:p>
    <w:p w14:paraId="72D49109">
      <w:pPr>
        <w:rPr>
          <w:rFonts w:hint="default"/>
          <w:highlight w:val="none"/>
          <w:lang w:val="en-US" w:eastAsia="zh-CN"/>
        </w:rPr>
      </w:pPr>
    </w:p>
    <w:p w14:paraId="1D8DB75B">
      <w:pPr>
        <w:rPr>
          <w:rFonts w:hint="default"/>
          <w:highlight w:val="none"/>
          <w:lang w:val="en-US" w:eastAsia="zh-CN"/>
        </w:rPr>
      </w:pPr>
    </w:p>
    <w:p w14:paraId="5F506DED">
      <w:pPr>
        <w:rPr>
          <w:rFonts w:hint="default"/>
          <w:highlight w:val="none"/>
          <w:lang w:val="en-US" w:eastAsia="zh-CN"/>
        </w:rPr>
      </w:pPr>
    </w:p>
    <w:p w14:paraId="3785A08B">
      <w:pPr>
        <w:rPr>
          <w:rFonts w:hint="default"/>
          <w:highlight w:val="none"/>
          <w:lang w:val="en-US" w:eastAsia="zh-CN"/>
        </w:rPr>
      </w:pPr>
    </w:p>
    <w:p w14:paraId="1ACC151E">
      <w:pPr>
        <w:rPr>
          <w:rFonts w:hint="default"/>
          <w:highlight w:val="none"/>
          <w:lang w:val="en-US" w:eastAsia="zh-CN"/>
        </w:rPr>
      </w:pPr>
    </w:p>
    <w:p w14:paraId="7B23414F">
      <w:pPr>
        <w:rPr>
          <w:rFonts w:hint="default"/>
          <w:highlight w:val="none"/>
          <w:lang w:val="en-US" w:eastAsia="zh-CN"/>
        </w:rPr>
      </w:pPr>
    </w:p>
    <w:p w14:paraId="334569B1">
      <w:pPr>
        <w:rPr>
          <w:rFonts w:hint="default"/>
          <w:highlight w:val="none"/>
          <w:lang w:val="en-US" w:eastAsia="zh-CN"/>
        </w:rPr>
      </w:pPr>
    </w:p>
    <w:p w14:paraId="0C40B4C9">
      <w:pPr>
        <w:rPr>
          <w:rFonts w:hint="default"/>
          <w:highlight w:val="none"/>
          <w:lang w:val="en-US" w:eastAsia="zh-CN"/>
        </w:rPr>
      </w:pPr>
    </w:p>
    <w:p w14:paraId="72DC9187">
      <w:pPr>
        <w:rPr>
          <w:rFonts w:hint="default"/>
          <w:highlight w:val="none"/>
          <w:lang w:val="en-US" w:eastAsia="zh-CN"/>
        </w:rPr>
      </w:pPr>
    </w:p>
    <w:p w14:paraId="07B82EF8">
      <w:pPr>
        <w:rPr>
          <w:rFonts w:hint="default"/>
          <w:highlight w:val="none"/>
          <w:lang w:val="en-US" w:eastAsia="zh-CN"/>
        </w:rPr>
      </w:pPr>
    </w:p>
    <w:p w14:paraId="190D2B28">
      <w:pPr>
        <w:rPr>
          <w:rFonts w:hint="default"/>
          <w:highlight w:val="none"/>
          <w:lang w:val="en-US" w:eastAsia="zh-CN"/>
        </w:rPr>
      </w:pPr>
    </w:p>
    <w:p w14:paraId="7F4B76B7">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2E6424E9">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644922BD">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582D4E2B">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30A32725">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676A7AC4">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236CE013">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53276F48">
      <w:pPr>
        <w:pStyle w:val="12"/>
        <w:shd w:val="clear" w:color="auto" w:fill="auto"/>
        <w:tabs>
          <w:tab w:val="left" w:leader="underscore" w:pos="3528"/>
          <w:tab w:val="left" w:leader="underscore" w:pos="7357"/>
        </w:tabs>
        <w:spacing w:before="0" w:after="0" w:line="360" w:lineRule="auto"/>
        <w:rPr>
          <w:rFonts w:hint="eastAsia" w:ascii="宋体" w:hAnsi="宋体" w:eastAsia="宋体" w:cs="宋体"/>
          <w:kern w:val="0"/>
          <w:sz w:val="36"/>
          <w:szCs w:val="36"/>
          <w:highlight w:val="none"/>
          <w:lang w:val="en-US" w:eastAsia="zh-CN"/>
        </w:rPr>
      </w:pPr>
      <w:r>
        <w:rPr>
          <w:rFonts w:hint="eastAsia" w:ascii="宋体" w:hAnsi="宋体" w:eastAsia="宋体" w:cs="宋体"/>
          <w:kern w:val="0"/>
          <w:sz w:val="52"/>
          <w:szCs w:val="52"/>
          <w:highlight w:val="none"/>
          <w:lang w:val="en-US" w:eastAsia="zh-CN"/>
        </w:rPr>
        <w:t>评标办法</w:t>
      </w:r>
    </w:p>
    <w:p w14:paraId="10E468E8">
      <w:pPr>
        <w:pStyle w:val="12"/>
        <w:shd w:val="clear" w:color="auto" w:fill="auto"/>
        <w:tabs>
          <w:tab w:val="left" w:leader="underscore" w:pos="3528"/>
          <w:tab w:val="left" w:leader="underscore" w:pos="7357"/>
        </w:tabs>
        <w:spacing w:before="0" w:after="0" w:line="360" w:lineRule="auto"/>
        <w:ind w:firstLine="640" w:firstLineChars="200"/>
        <w:jc w:val="center"/>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lang w:val="en-US" w:eastAsia="zh-CN"/>
        </w:rPr>
        <w:t>评标办法</w:t>
      </w:r>
      <w:r>
        <w:rPr>
          <w:rFonts w:hint="eastAsia" w:ascii="宋体" w:hAnsi="宋体" w:eastAsia="宋体" w:cs="宋体"/>
          <w:kern w:val="0"/>
          <w:sz w:val="32"/>
          <w:szCs w:val="32"/>
          <w:highlight w:val="none"/>
        </w:rPr>
        <w:t>正文详见中华人民共和国交通运输部</w:t>
      </w:r>
    </w:p>
    <w:p w14:paraId="50A35FC4">
      <w:pPr>
        <w:jc w:val="center"/>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rPr>
        <w:t>《公路工程标准</w:t>
      </w:r>
      <w:r>
        <w:rPr>
          <w:rFonts w:hint="eastAsia" w:ascii="宋体" w:hAnsi="宋体" w:eastAsia="宋体" w:cs="宋体"/>
          <w:kern w:val="0"/>
          <w:sz w:val="32"/>
          <w:szCs w:val="32"/>
          <w:highlight w:val="none"/>
          <w:lang w:val="en-US" w:eastAsia="zh-CN"/>
        </w:rPr>
        <w:t>勘察设计</w:t>
      </w:r>
      <w:r>
        <w:rPr>
          <w:rFonts w:hint="eastAsia" w:ascii="宋体" w:hAnsi="宋体" w:eastAsia="宋体" w:cs="宋体"/>
          <w:kern w:val="0"/>
          <w:sz w:val="32"/>
          <w:szCs w:val="32"/>
          <w:highlight w:val="none"/>
        </w:rPr>
        <w:t>招标文件（2018年版）》相应内容</w:t>
      </w:r>
    </w:p>
    <w:p w14:paraId="51CDA39E">
      <w:pPr>
        <w:numPr>
          <w:ilvl w:val="0"/>
          <w:numId w:val="0"/>
        </w:numPr>
      </w:pPr>
    </w:p>
    <w:p w14:paraId="13624513">
      <w:r>
        <w:br w:type="page"/>
      </w:r>
    </w:p>
    <w:p w14:paraId="0190D127">
      <w:pPr>
        <w:pStyle w:val="12"/>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4.联系方式</w:t>
      </w:r>
    </w:p>
    <w:p w14:paraId="4E98073E">
      <w:pPr>
        <w:shd w:val="clear"/>
        <w:spacing w:line="400" w:lineRule="exact"/>
        <w:ind w:firstLine="324" w:firstLineChars="135"/>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招标人：</w:t>
      </w:r>
      <w:r>
        <w:rPr>
          <w:rFonts w:hint="eastAsia" w:cs="宋体"/>
          <w:kern w:val="0"/>
          <w:sz w:val="24"/>
          <w:szCs w:val="24"/>
          <w:highlight w:val="none"/>
          <w:lang w:eastAsia="zh-CN"/>
        </w:rPr>
        <w:t>陕西交通控股集团有限公司</w:t>
      </w:r>
    </w:p>
    <w:p w14:paraId="2F62E3E8">
      <w:pPr>
        <w:shd w:val="clear"/>
        <w:spacing w:line="400" w:lineRule="exact"/>
        <w:ind w:firstLine="324" w:firstLineChars="13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地址：西安市</w:t>
      </w:r>
      <w:r>
        <w:rPr>
          <w:rFonts w:hint="eastAsia" w:cs="宋体"/>
          <w:kern w:val="0"/>
          <w:sz w:val="24"/>
          <w:szCs w:val="24"/>
          <w:highlight w:val="none"/>
          <w:lang w:val="en-US" w:eastAsia="zh-CN"/>
        </w:rPr>
        <w:t>太白南路9</w:t>
      </w:r>
      <w:r>
        <w:rPr>
          <w:rFonts w:hint="eastAsia" w:ascii="宋体" w:hAnsi="宋体" w:eastAsia="宋体" w:cs="宋体"/>
          <w:kern w:val="0"/>
          <w:sz w:val="24"/>
          <w:szCs w:val="24"/>
          <w:highlight w:val="none"/>
        </w:rPr>
        <w:t>号</w:t>
      </w:r>
    </w:p>
    <w:p w14:paraId="06AC2BCE">
      <w:pPr>
        <w:shd w:val="clear"/>
        <w:spacing w:line="400" w:lineRule="exact"/>
        <w:ind w:firstLine="324" w:firstLineChars="13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邮编：710065</w:t>
      </w:r>
    </w:p>
    <w:p w14:paraId="5801A66E">
      <w:pPr>
        <w:shd w:val="clear"/>
        <w:spacing w:line="400" w:lineRule="exact"/>
        <w:ind w:firstLine="324" w:firstLineChars="135"/>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联系人：</w:t>
      </w:r>
      <w:r>
        <w:rPr>
          <w:rFonts w:hint="eastAsia" w:ascii="宋体" w:hAnsi="宋体" w:eastAsia="宋体" w:cs="宋体"/>
          <w:kern w:val="0"/>
          <w:sz w:val="24"/>
          <w:szCs w:val="24"/>
          <w:highlight w:val="none"/>
          <w:lang w:val="en-US" w:eastAsia="zh-CN"/>
        </w:rPr>
        <w:t>仵先生</w:t>
      </w:r>
    </w:p>
    <w:p w14:paraId="4884FC2F">
      <w:pPr>
        <w:shd w:val="clear"/>
        <w:spacing w:line="400" w:lineRule="exact"/>
        <w:ind w:firstLine="324" w:firstLineChars="13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电话：</w:t>
      </w:r>
      <w:r>
        <w:rPr>
          <w:rFonts w:hint="eastAsia" w:ascii="宋体" w:hAnsi="宋体" w:eastAsia="宋体"/>
          <w:kern w:val="0"/>
          <w:sz w:val="24"/>
          <w:szCs w:val="24"/>
          <w:highlight w:val="none"/>
          <w:lang w:val="en-US" w:eastAsia="zh-CN"/>
        </w:rPr>
        <w:t>029-</w:t>
      </w:r>
      <w:r>
        <w:rPr>
          <w:rFonts w:hint="eastAsia" w:ascii="宋体" w:hAnsi="宋体" w:eastAsia="宋体"/>
          <w:kern w:val="0"/>
          <w:sz w:val="24"/>
          <w:szCs w:val="24"/>
          <w:highlight w:val="none"/>
        </w:rPr>
        <w:t>88869458</w:t>
      </w:r>
    </w:p>
    <w:p w14:paraId="531B20A8">
      <w:pPr>
        <w:shd w:val="clear"/>
        <w:spacing w:line="400" w:lineRule="exact"/>
        <w:ind w:firstLine="324" w:firstLineChars="135"/>
        <w:rPr>
          <w:rFonts w:hint="eastAsia" w:ascii="宋体" w:hAnsi="宋体" w:eastAsia="宋体" w:cs="宋体"/>
          <w:kern w:val="0"/>
          <w:sz w:val="24"/>
          <w:szCs w:val="24"/>
          <w:highlight w:val="none"/>
        </w:rPr>
      </w:pPr>
    </w:p>
    <w:p w14:paraId="6C402CFD">
      <w:pPr>
        <w:shd w:val="clear"/>
        <w:spacing w:line="400" w:lineRule="exact"/>
        <w:ind w:firstLine="324" w:firstLineChars="135"/>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招标代理机构：陕西省交通工程咨询有限公司</w:t>
      </w:r>
    </w:p>
    <w:p w14:paraId="50B0E33F">
      <w:pPr>
        <w:shd w:val="clear"/>
        <w:spacing w:line="400" w:lineRule="exact"/>
        <w:ind w:firstLine="324" w:firstLineChars="13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地址：西安市莲湖区药王洞18号7楼</w:t>
      </w:r>
    </w:p>
    <w:p w14:paraId="55251686">
      <w:pPr>
        <w:shd w:val="clear"/>
        <w:spacing w:line="400" w:lineRule="exact"/>
        <w:ind w:firstLine="324" w:firstLineChars="13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邮编：710003</w:t>
      </w:r>
    </w:p>
    <w:p w14:paraId="2D39E905">
      <w:pPr>
        <w:shd w:val="clear"/>
        <w:spacing w:line="400" w:lineRule="exact"/>
        <w:ind w:firstLine="324" w:firstLineChars="135"/>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联系人：白先生</w:t>
      </w:r>
    </w:p>
    <w:p w14:paraId="7D7CB49D">
      <w:pPr>
        <w:shd w:val="clear"/>
        <w:spacing w:line="400" w:lineRule="exact"/>
        <w:ind w:firstLine="324" w:firstLineChars="13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电话：029-87320090</w:t>
      </w:r>
    </w:p>
    <w:p w14:paraId="39D515E0">
      <w:pPr>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br w:type="page"/>
      </w:r>
    </w:p>
    <w:p w14:paraId="1580ACA8">
      <w:pPr>
        <w:pStyle w:val="12"/>
        <w:shd w:val="clear" w:color="auto" w:fill="FFFFFF"/>
        <w:tabs>
          <w:tab w:val="left" w:leader="underscore" w:pos="3528"/>
          <w:tab w:val="left" w:leader="underscore" w:pos="7357"/>
        </w:tabs>
        <w:spacing w:before="0" w:after="0" w:line="460" w:lineRule="exact"/>
        <w:jc w:val="both"/>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附件2：招标文件购买信息登记表</w:t>
      </w:r>
    </w:p>
    <w:p w14:paraId="7C812C2B">
      <w:pPr>
        <w:widowControl/>
        <w:shd w:val="clear"/>
        <w:spacing w:line="360" w:lineRule="auto"/>
        <w:jc w:val="left"/>
        <w:rPr>
          <w:rFonts w:hint="eastAsia" w:ascii="宋体" w:hAnsi="宋体" w:eastAsia="宋体" w:cs="宋体"/>
          <w:b/>
          <w:kern w:val="0"/>
          <w:sz w:val="24"/>
          <w:szCs w:val="24"/>
          <w:highlight w:val="none"/>
          <w:lang w:val="en-US" w:eastAsia="zh-CN"/>
        </w:rPr>
      </w:pPr>
    </w:p>
    <w:p w14:paraId="74E07D06">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宋体" w:hAnsi="宋体" w:eastAsia="宋体" w:cs="宋体"/>
          <w:b/>
          <w:bCs/>
          <w:kern w:val="0"/>
          <w:sz w:val="44"/>
          <w:szCs w:val="44"/>
          <w:highlight w:val="none"/>
        </w:rPr>
      </w:pPr>
      <w:r>
        <w:rPr>
          <w:rFonts w:hint="eastAsia" w:ascii="宋体" w:hAnsi="宋体" w:eastAsia="宋体" w:cs="宋体"/>
          <w:b/>
          <w:bCs/>
          <w:kern w:val="0"/>
          <w:sz w:val="44"/>
          <w:szCs w:val="44"/>
          <w:highlight w:val="none"/>
        </w:rPr>
        <w:t>购买招标文件登记表</w:t>
      </w:r>
    </w:p>
    <w:tbl>
      <w:tblPr>
        <w:tblStyle w:val="9"/>
        <w:tblW w:w="85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52"/>
        <w:gridCol w:w="5231"/>
      </w:tblGrid>
      <w:tr w14:paraId="52F65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5800C988">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5231" w:type="dxa"/>
            <w:vAlign w:val="center"/>
          </w:tcPr>
          <w:p w14:paraId="4950B00A">
            <w:pPr>
              <w:pStyle w:val="12"/>
              <w:keepNext w:val="0"/>
              <w:keepLines w:val="0"/>
              <w:pageBreakBefore w:val="0"/>
              <w:widowControl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280" w:lineRule="exact"/>
              <w:ind w:left="0" w:right="0"/>
              <w:jc w:val="center"/>
              <w:textAlignment w:val="auto"/>
              <w:rPr>
                <w:rFonts w:hint="eastAsia" w:ascii="宋体" w:hAnsi="宋体" w:eastAsia="宋体" w:cs="宋体"/>
                <w:sz w:val="24"/>
                <w:szCs w:val="24"/>
                <w:highlight w:val="none"/>
                <w:lang w:val="en-US" w:eastAsia="zh-CN" w:bidi="ar-SA"/>
              </w:rPr>
            </w:pPr>
          </w:p>
        </w:tc>
      </w:tr>
      <w:tr w14:paraId="0FC23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18CA2FF0">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标段编号</w:t>
            </w:r>
          </w:p>
        </w:tc>
        <w:tc>
          <w:tcPr>
            <w:tcW w:w="5231" w:type="dxa"/>
            <w:vAlign w:val="center"/>
          </w:tcPr>
          <w:p w14:paraId="4317900C">
            <w:pPr>
              <w:pStyle w:val="12"/>
              <w:keepNext w:val="0"/>
              <w:keepLines w:val="0"/>
              <w:pageBreakBefore w:val="0"/>
              <w:widowControl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280" w:lineRule="exact"/>
              <w:ind w:left="0" w:right="0"/>
              <w:jc w:val="center"/>
              <w:textAlignment w:val="auto"/>
              <w:rPr>
                <w:rFonts w:hint="eastAsia" w:ascii="宋体" w:hAnsi="宋体" w:eastAsia="宋体" w:cs="宋体"/>
                <w:sz w:val="24"/>
                <w:szCs w:val="24"/>
                <w:highlight w:val="none"/>
                <w:lang w:val="en-US" w:eastAsia="zh-CN" w:bidi="ar-SA"/>
              </w:rPr>
            </w:pPr>
          </w:p>
        </w:tc>
      </w:tr>
      <w:tr w14:paraId="28DF6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0A05D0EE">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52BC66ED">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单位名称</w:t>
            </w:r>
          </w:p>
        </w:tc>
        <w:tc>
          <w:tcPr>
            <w:tcW w:w="5231" w:type="dxa"/>
            <w:vAlign w:val="center"/>
          </w:tcPr>
          <w:p w14:paraId="279E0A29">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60D13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0FEF8264">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300BD239">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tc>
        <w:tc>
          <w:tcPr>
            <w:tcW w:w="5231" w:type="dxa"/>
            <w:vAlign w:val="center"/>
          </w:tcPr>
          <w:p w14:paraId="2A06DD44">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0F08B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jc w:val="center"/>
        </w:trPr>
        <w:tc>
          <w:tcPr>
            <w:tcW w:w="3352" w:type="dxa"/>
            <w:vAlign w:val="center"/>
          </w:tcPr>
          <w:p w14:paraId="3216238B">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47F66176">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购买（招标文件）时间</w:t>
            </w:r>
          </w:p>
        </w:tc>
        <w:tc>
          <w:tcPr>
            <w:tcW w:w="5231" w:type="dxa"/>
            <w:vAlign w:val="center"/>
          </w:tcPr>
          <w:p w14:paraId="61F42B40">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06A7C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7A34ABC4">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60D0FFE8">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经办人</w:t>
            </w:r>
          </w:p>
        </w:tc>
        <w:tc>
          <w:tcPr>
            <w:tcW w:w="5231" w:type="dxa"/>
            <w:vAlign w:val="center"/>
          </w:tcPr>
          <w:p w14:paraId="5F0A22C0">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5882F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432A755B">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5231" w:type="dxa"/>
            <w:vAlign w:val="center"/>
          </w:tcPr>
          <w:p w14:paraId="5377C919">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4D024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1541B4FE">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2E7E6F05">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电子邮箱</w:t>
            </w:r>
          </w:p>
        </w:tc>
        <w:tc>
          <w:tcPr>
            <w:tcW w:w="5231" w:type="dxa"/>
            <w:vAlign w:val="center"/>
          </w:tcPr>
          <w:p w14:paraId="2D6251F3">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498BB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jc w:val="center"/>
        </w:trPr>
        <w:tc>
          <w:tcPr>
            <w:tcW w:w="3352" w:type="dxa"/>
            <w:vAlign w:val="center"/>
          </w:tcPr>
          <w:p w14:paraId="18D41471">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03AC24CB">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c>
          <w:tcPr>
            <w:tcW w:w="5231" w:type="dxa"/>
            <w:vAlign w:val="center"/>
          </w:tcPr>
          <w:p w14:paraId="68BA8EA4">
            <w:pPr>
              <w:pStyle w:val="17"/>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bl>
    <w:p w14:paraId="37AC5058">
      <w:pPr>
        <w:widowControl/>
        <w:shd w:val="clear"/>
        <w:spacing w:line="360" w:lineRule="auto"/>
        <w:jc w:val="left"/>
        <w:rPr>
          <w:rFonts w:hint="default" w:ascii="宋体" w:hAnsi="宋体" w:eastAsia="宋体" w:cs="宋体"/>
          <w:b/>
          <w:kern w:val="0"/>
          <w:sz w:val="24"/>
          <w:szCs w:val="24"/>
          <w:highlight w:val="none"/>
          <w:lang w:val="en-US" w:eastAsia="zh-CN"/>
        </w:rPr>
      </w:pPr>
    </w:p>
    <w:p w14:paraId="50658369">
      <w:pPr>
        <w:rPr>
          <w:highlight w:val="none"/>
        </w:rPr>
        <w:sectPr>
          <w:headerReference r:id="rId3" w:type="default"/>
          <w:footerReference r:id="rId4" w:type="default"/>
          <w:pgSz w:w="11906" w:h="16838"/>
          <w:pgMar w:top="1440" w:right="1800" w:bottom="1440" w:left="1800" w:header="851" w:footer="850" w:gutter="0"/>
          <w:pgNumType w:fmt="decimal" w:start="1"/>
          <w:cols w:space="425" w:num="1"/>
          <w:docGrid w:type="lines" w:linePitch="312" w:charSpace="0"/>
        </w:sectPr>
      </w:pPr>
    </w:p>
    <w:p w14:paraId="07F943C9">
      <w:pPr>
        <w:spacing w:before="91" w:line="219" w:lineRule="auto"/>
        <w:ind w:left="123"/>
        <w:rPr>
          <w:rFonts w:ascii="宋体" w:hAnsi="宋体" w:eastAsia="宋体" w:cs="宋体"/>
          <w:spacing w:val="0"/>
          <w:sz w:val="28"/>
          <w:szCs w:val="28"/>
          <w:highlight w:val="none"/>
        </w:rPr>
      </w:pPr>
      <w:r>
        <w:rPr>
          <w:rFonts w:hint="eastAsia" w:ascii="宋体" w:hAnsi="宋体" w:eastAsia="宋体" w:cs="宋体"/>
          <w:b/>
          <w:kern w:val="0"/>
          <w:sz w:val="28"/>
          <w:szCs w:val="28"/>
          <w:highlight w:val="none"/>
          <w:lang w:val="en-US" w:eastAsia="zh-CN"/>
        </w:rPr>
        <w:t>附件3：联合体购买招标文件授权书格式</w:t>
      </w:r>
    </w:p>
    <w:tbl>
      <w:tblPr>
        <w:tblStyle w:val="20"/>
        <w:tblW w:w="901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7"/>
      </w:tblGrid>
      <w:tr w14:paraId="281263A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PrEx>
        <w:trPr>
          <w:trHeight w:val="12352" w:hRule="atLeast"/>
        </w:trPr>
        <w:tc>
          <w:tcPr>
            <w:tcW w:w="9017" w:type="dxa"/>
            <w:vAlign w:val="top"/>
          </w:tcPr>
          <w:p w14:paraId="6053E597">
            <w:pPr>
              <w:pStyle w:val="19"/>
              <w:keepNext w:val="0"/>
              <w:keepLines w:val="0"/>
              <w:pageBreakBefore w:val="0"/>
              <w:widowControl/>
              <w:kinsoku w:val="0"/>
              <w:wordWrap/>
              <w:overflowPunct/>
              <w:topLinePunct w:val="0"/>
              <w:autoSpaceDE w:val="0"/>
              <w:autoSpaceDN w:val="0"/>
              <w:bidi w:val="0"/>
              <w:adjustRightInd w:val="0"/>
              <w:snapToGrid w:val="0"/>
              <w:spacing w:before="115" w:line="219" w:lineRule="auto"/>
              <w:ind w:left="0"/>
              <w:jc w:val="center"/>
              <w:textAlignment w:val="baseline"/>
              <w:rPr>
                <w:rFonts w:hint="eastAsia"/>
                <w:spacing w:val="0"/>
                <w:sz w:val="32"/>
                <w:szCs w:val="32"/>
                <w:highlight w:val="none"/>
                <w:lang w:val="en-US" w:eastAsia="zh-CN"/>
                <w14:textOutline w14:w="4358" w14:cap="sq" w14:cmpd="sng">
                  <w14:solidFill>
                    <w14:srgbClr w14:val="000000"/>
                  </w14:solidFill>
                  <w14:prstDash w14:val="solid"/>
                  <w14:bevel/>
                </w14:textOutline>
              </w:rPr>
            </w:pPr>
            <w:r>
              <w:rPr>
                <w:rFonts w:hint="eastAsia"/>
                <w:spacing w:val="0"/>
                <w:sz w:val="32"/>
                <w:szCs w:val="32"/>
                <w:highlight w:val="none"/>
                <w:lang w:val="en-US" w:eastAsia="zh-CN"/>
                <w14:textOutline w14:w="4358" w14:cap="sq" w14:cmpd="sng">
                  <w14:solidFill>
                    <w14:srgbClr w14:val="000000"/>
                  </w14:solidFill>
                  <w14:prstDash w14:val="solid"/>
                  <w14:bevel/>
                </w14:textOutline>
              </w:rPr>
              <w:t>G5 京昆线（西安至陕川界段）安全韧性提升工程</w:t>
            </w:r>
          </w:p>
          <w:p w14:paraId="1A4260AF">
            <w:pPr>
              <w:pStyle w:val="19"/>
              <w:keepNext w:val="0"/>
              <w:keepLines w:val="0"/>
              <w:pageBreakBefore w:val="0"/>
              <w:widowControl/>
              <w:kinsoku w:val="0"/>
              <w:wordWrap/>
              <w:overflowPunct/>
              <w:topLinePunct w:val="0"/>
              <w:autoSpaceDE w:val="0"/>
              <w:autoSpaceDN w:val="0"/>
              <w:bidi w:val="0"/>
              <w:adjustRightInd w:val="0"/>
              <w:snapToGrid w:val="0"/>
              <w:spacing w:before="115" w:line="219" w:lineRule="auto"/>
              <w:ind w:left="0"/>
              <w:jc w:val="center"/>
              <w:textAlignment w:val="baseline"/>
              <w:rPr>
                <w:spacing w:val="0"/>
                <w:sz w:val="32"/>
                <w:szCs w:val="32"/>
                <w:highlight w:val="none"/>
                <w14:textOutline w14:w="4358" w14:cap="sq" w14:cmpd="sng">
                  <w14:solidFill>
                    <w14:srgbClr w14:val="000000"/>
                  </w14:solidFill>
                  <w14:prstDash w14:val="solid"/>
                  <w14:bevel/>
                </w14:textOutline>
              </w:rPr>
            </w:pPr>
            <w:r>
              <w:rPr>
                <w:rFonts w:hint="eastAsia"/>
                <w:spacing w:val="0"/>
                <w:sz w:val="32"/>
                <w:szCs w:val="32"/>
                <w:highlight w:val="none"/>
                <w:lang w:val="en-US" w:eastAsia="zh-CN"/>
                <w14:textOutline w14:w="4358" w14:cap="sq" w14:cmpd="sng">
                  <w14:solidFill>
                    <w14:srgbClr w14:val="000000"/>
                  </w14:solidFill>
                  <w14:prstDash w14:val="solid"/>
                  <w14:bevel/>
                </w14:textOutline>
              </w:rPr>
              <w:t>两阶段勘察设计和设计咨询</w:t>
            </w:r>
            <w:r>
              <w:rPr>
                <w:spacing w:val="0"/>
                <w:sz w:val="32"/>
                <w:szCs w:val="32"/>
                <w:highlight w:val="none"/>
                <w14:textOutline w14:w="4358" w14:cap="sq" w14:cmpd="sng">
                  <w14:solidFill>
                    <w14:srgbClr w14:val="000000"/>
                  </w14:solidFill>
                  <w14:prstDash w14:val="solid"/>
                  <w14:bevel/>
                </w14:textOutline>
              </w:rPr>
              <w:t>招标</w:t>
            </w:r>
          </w:p>
          <w:p w14:paraId="6C601453">
            <w:pPr>
              <w:pStyle w:val="19"/>
              <w:keepNext w:val="0"/>
              <w:keepLines w:val="0"/>
              <w:pageBreakBefore w:val="0"/>
              <w:widowControl/>
              <w:kinsoku w:val="0"/>
              <w:wordWrap/>
              <w:overflowPunct/>
              <w:topLinePunct w:val="0"/>
              <w:autoSpaceDE w:val="0"/>
              <w:autoSpaceDN w:val="0"/>
              <w:bidi w:val="0"/>
              <w:adjustRightInd w:val="0"/>
              <w:snapToGrid w:val="0"/>
              <w:spacing w:before="115" w:line="219" w:lineRule="auto"/>
              <w:ind w:left="0"/>
              <w:jc w:val="center"/>
              <w:textAlignment w:val="baseline"/>
              <w:rPr>
                <w:spacing w:val="0"/>
                <w:sz w:val="32"/>
                <w:szCs w:val="32"/>
                <w:highlight w:val="none"/>
              </w:rPr>
            </w:pPr>
            <w:r>
              <w:rPr>
                <w:rFonts w:hint="eastAsia"/>
                <w:spacing w:val="0"/>
                <w:sz w:val="32"/>
                <w:szCs w:val="32"/>
                <w:highlight w:val="none"/>
                <w:lang w:val="en-US" w:eastAsia="zh-CN"/>
                <w14:textOutline w14:w="4358" w14:cap="sq" w14:cmpd="sng">
                  <w14:solidFill>
                    <w14:srgbClr w14:val="000000"/>
                  </w14:solidFill>
                  <w14:prstDash w14:val="solid"/>
                  <w14:bevel/>
                </w14:textOutline>
              </w:rPr>
              <w:t>联合体</w:t>
            </w:r>
            <w:r>
              <w:rPr>
                <w:spacing w:val="0"/>
                <w:sz w:val="32"/>
                <w:szCs w:val="32"/>
                <w:highlight w:val="none"/>
                <w14:textOutline w14:w="4358" w14:cap="sq" w14:cmpd="sng">
                  <w14:solidFill>
                    <w14:srgbClr w14:val="000000"/>
                  </w14:solidFill>
                  <w14:prstDash w14:val="solid"/>
                  <w14:bevel/>
                </w14:textOutline>
              </w:rPr>
              <w:t>购买招标文件授权书</w:t>
            </w:r>
          </w:p>
          <w:p w14:paraId="27D58EE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p>
          <w:p w14:paraId="0D354688">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0" w:firstLineChars="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single"/>
                <w:lang w:val="en-US" w:eastAsia="zh-CN"/>
              </w:rPr>
              <w:t xml:space="preserve">    陕西省交通工程咨询有限公司</w:t>
            </w:r>
            <w:r>
              <w:rPr>
                <w:rFonts w:hint="eastAsia" w:ascii="宋体" w:hAnsi="宋体" w:eastAsia="宋体" w:cs="宋体"/>
                <w:spacing w:val="0"/>
                <w:sz w:val="24"/>
                <w:szCs w:val="24"/>
                <w:highlight w:val="none"/>
                <w:lang w:val="en-US" w:eastAsia="zh-CN"/>
              </w:rPr>
              <w:t>：</w:t>
            </w:r>
          </w:p>
          <w:p w14:paraId="284CAD26">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single"/>
                <w:lang w:val="en-US" w:eastAsia="zh-CN"/>
              </w:rPr>
              <w:t>（联合体组成单位）</w:t>
            </w:r>
            <w:r>
              <w:rPr>
                <w:rFonts w:hint="eastAsia" w:hAnsi="宋体" w:cs="宋体"/>
                <w:spacing w:val="0"/>
                <w:sz w:val="24"/>
                <w:szCs w:val="24"/>
                <w:highlight w:val="none"/>
                <w:u w:val="single"/>
                <w:lang w:val="en-US" w:eastAsia="zh-CN"/>
              </w:rPr>
              <w:t xml:space="preserve">     自愿</w:t>
            </w:r>
            <w:r>
              <w:rPr>
                <w:rFonts w:hint="eastAsia" w:ascii="宋体" w:hAnsi="宋体" w:eastAsia="宋体" w:cs="宋体"/>
                <w:spacing w:val="0"/>
                <w:sz w:val="24"/>
                <w:szCs w:val="24"/>
                <w:highlight w:val="none"/>
                <w:lang w:val="en-US" w:eastAsia="zh-CN"/>
              </w:rPr>
              <w:t>组成联合体，拟参与G5 京昆线（西安至陕川界段）安全韧性提升工程两阶段勘察设计和设计咨询</w:t>
            </w:r>
            <w:r>
              <w:rPr>
                <w:rFonts w:hint="eastAsia" w:ascii="宋体" w:hAnsi="宋体" w:eastAsia="宋体" w:cs="宋体"/>
                <w:spacing w:val="0"/>
                <w:sz w:val="24"/>
                <w:szCs w:val="24"/>
                <w:highlight w:val="none"/>
                <w:u w:val="single"/>
                <w:lang w:val="en-US" w:eastAsia="zh-CN"/>
              </w:rPr>
              <w:t xml:space="preserve">   </w:t>
            </w:r>
            <w:bookmarkStart w:id="2" w:name="_GoBack"/>
            <w:bookmarkEnd w:id="2"/>
            <w:r>
              <w:rPr>
                <w:rFonts w:hint="eastAsia" w:ascii="宋体" w:hAnsi="宋体" w:eastAsia="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lang w:val="en-US" w:eastAsia="zh-CN"/>
              </w:rPr>
              <w:t>标段投标，其中</w:t>
            </w:r>
            <w:r>
              <w:rPr>
                <w:rFonts w:hint="eastAsia" w:ascii="宋体" w:hAnsi="宋体" w:eastAsia="宋体" w:cs="宋体"/>
                <w:spacing w:val="0"/>
                <w:sz w:val="24"/>
                <w:szCs w:val="24"/>
                <w:highlight w:val="none"/>
                <w:u w:val="single"/>
                <w:lang w:val="en-US" w:eastAsia="zh-CN"/>
              </w:rPr>
              <w:t xml:space="preserve">（牵头单位名称）     </w:t>
            </w:r>
            <w:r>
              <w:rPr>
                <w:rFonts w:hint="eastAsia" w:ascii="宋体" w:hAnsi="宋体" w:eastAsia="宋体" w:cs="宋体"/>
                <w:spacing w:val="0"/>
                <w:sz w:val="24"/>
                <w:szCs w:val="24"/>
                <w:highlight w:val="none"/>
                <w:lang w:val="en-US" w:eastAsia="zh-CN"/>
              </w:rPr>
              <w:t xml:space="preserve">为联合体牵头单位。联合体授权联合体牵头单位工作人员 </w:t>
            </w:r>
            <w:r>
              <w:rPr>
                <w:rFonts w:hint="eastAsia" w:ascii="宋体" w:hAnsi="宋体" w:eastAsia="宋体" w:cs="宋体"/>
                <w:spacing w:val="0"/>
                <w:sz w:val="24"/>
                <w:szCs w:val="24"/>
                <w:highlight w:val="none"/>
                <w:u w:val="single"/>
                <w:lang w:val="en-US" w:eastAsia="zh-CN"/>
              </w:rPr>
              <w:t>(购买招标文件人员姓名)</w:t>
            </w:r>
            <w:r>
              <w:rPr>
                <w:rFonts w:hint="eastAsia" w:hAnsi="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lang w:val="en-US" w:eastAsia="zh-CN"/>
              </w:rPr>
              <w:t>购买招标文件，授权期限 7 天。</w:t>
            </w:r>
          </w:p>
          <w:p w14:paraId="0B1435A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p>
          <w:p w14:paraId="025C1B2D">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牵头单位名称：</w:t>
            </w:r>
            <w:r>
              <w:rPr>
                <w:rFonts w:hint="eastAsia" w:ascii="宋体" w:hAnsi="宋体" w:eastAsia="宋体" w:cs="宋体"/>
                <w:spacing w:val="0"/>
                <w:sz w:val="24"/>
                <w:szCs w:val="24"/>
                <w:highlight w:val="none"/>
                <w:u w:val="single"/>
                <w:lang w:val="en-US" w:eastAsia="zh-CN"/>
              </w:rPr>
              <w:t xml:space="preserve">                                （盖单位章）</w:t>
            </w:r>
          </w:p>
          <w:p w14:paraId="45023BE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lang w:val="en-US" w:eastAsia="zh-CN"/>
              </w:rPr>
              <w:t>法定代表人</w:t>
            </w:r>
            <w:r>
              <w:rPr>
                <w:rFonts w:hint="eastAsia" w:ascii="宋体" w:hAnsi="宋体" w:eastAsia="宋体" w:cs="宋体"/>
                <w:spacing w:val="0"/>
                <w:sz w:val="24"/>
                <w:szCs w:val="24"/>
                <w:highlight w:val="none"/>
                <w:u w:val="single"/>
                <w:lang w:val="en-US" w:eastAsia="zh-CN"/>
              </w:rPr>
              <w:t>：                                      （签字）</w:t>
            </w:r>
          </w:p>
          <w:p w14:paraId="7A3937F9">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none"/>
                <w:lang w:val="en-US" w:eastAsia="zh-CN"/>
              </w:rPr>
              <w:t>具备的资质：</w:t>
            </w:r>
            <w:r>
              <w:rPr>
                <w:rFonts w:hint="eastAsia" w:ascii="宋体" w:hAnsi="宋体" w:eastAsia="宋体" w:cs="宋体"/>
                <w:spacing w:val="0"/>
                <w:sz w:val="24"/>
                <w:szCs w:val="24"/>
                <w:highlight w:val="none"/>
                <w:u w:val="single"/>
                <w:lang w:val="en-US" w:eastAsia="zh-CN"/>
              </w:rPr>
              <w:t xml:space="preserve">                                              </w:t>
            </w:r>
          </w:p>
          <w:p w14:paraId="2EB3D09C">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default"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none"/>
                <w:lang w:val="en-US" w:eastAsia="zh-CN"/>
              </w:rPr>
              <w:t>承担的段落：</w:t>
            </w:r>
            <w:r>
              <w:rPr>
                <w:rFonts w:hint="eastAsia" w:ascii="宋体" w:hAnsi="宋体" w:eastAsia="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u w:val="none"/>
                <w:lang w:val="en-US" w:eastAsia="zh-CN"/>
              </w:rPr>
              <w:t xml:space="preserve">                       </w:t>
            </w:r>
          </w:p>
          <w:p w14:paraId="06B4D648">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hAnsi="宋体" w:cs="宋体"/>
                <w:spacing w:val="0"/>
                <w:sz w:val="24"/>
                <w:szCs w:val="24"/>
                <w:highlight w:val="none"/>
                <w:lang w:val="en-US" w:eastAsia="zh-CN"/>
              </w:rPr>
            </w:pPr>
          </w:p>
          <w:p w14:paraId="5A015C24">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hAnsi="宋体" w:cs="宋体"/>
                <w:spacing w:val="0"/>
                <w:sz w:val="24"/>
                <w:szCs w:val="24"/>
                <w:highlight w:val="none"/>
                <w:lang w:val="en-US" w:eastAsia="zh-CN"/>
              </w:rPr>
              <w:t>成员</w:t>
            </w:r>
            <w:r>
              <w:rPr>
                <w:rFonts w:hint="eastAsia" w:ascii="宋体" w:hAnsi="宋体" w:eastAsia="宋体" w:cs="宋体"/>
                <w:spacing w:val="0"/>
                <w:sz w:val="24"/>
                <w:szCs w:val="24"/>
                <w:highlight w:val="none"/>
                <w:lang w:val="en-US" w:eastAsia="zh-CN"/>
              </w:rPr>
              <w:t>单位名称</w:t>
            </w:r>
            <w:r>
              <w:rPr>
                <w:rFonts w:hint="eastAsia" w:ascii="宋体" w:hAnsi="宋体" w:eastAsia="宋体" w:cs="宋体"/>
                <w:spacing w:val="0"/>
                <w:sz w:val="24"/>
                <w:szCs w:val="24"/>
                <w:highlight w:val="none"/>
                <w:u w:val="single"/>
                <w:lang w:val="en-US" w:eastAsia="zh-CN"/>
              </w:rPr>
              <w:t>：                                （盖单位章）</w:t>
            </w:r>
          </w:p>
          <w:p w14:paraId="1DEAA571">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法定代表人：</w:t>
            </w:r>
            <w:r>
              <w:rPr>
                <w:rFonts w:hint="eastAsia" w:ascii="宋体" w:hAnsi="宋体" w:eastAsia="宋体" w:cs="宋体"/>
                <w:spacing w:val="0"/>
                <w:sz w:val="24"/>
                <w:szCs w:val="24"/>
                <w:highlight w:val="none"/>
                <w:u w:val="single"/>
                <w:lang w:val="en-US" w:eastAsia="zh-CN"/>
              </w:rPr>
              <w:t xml:space="preserve">                                      （签字）</w:t>
            </w:r>
          </w:p>
          <w:p w14:paraId="3082617B">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default"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none"/>
                <w:lang w:val="en-US" w:eastAsia="zh-CN"/>
              </w:rPr>
              <w:t>具备的资质：</w:t>
            </w:r>
            <w:r>
              <w:rPr>
                <w:rFonts w:hint="eastAsia" w:ascii="宋体" w:hAnsi="宋体" w:eastAsia="宋体" w:cs="宋体"/>
                <w:spacing w:val="0"/>
                <w:sz w:val="24"/>
                <w:szCs w:val="24"/>
                <w:highlight w:val="none"/>
                <w:u w:val="single"/>
                <w:lang w:val="en-US" w:eastAsia="zh-CN"/>
              </w:rPr>
              <w:t xml:space="preserve">                                              </w:t>
            </w:r>
          </w:p>
          <w:p w14:paraId="7369B84A">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none"/>
                <w:lang w:val="en-US" w:eastAsia="zh-CN"/>
              </w:rPr>
              <w:t>承担的段落：</w:t>
            </w:r>
            <w:r>
              <w:rPr>
                <w:rFonts w:hint="eastAsia" w:ascii="宋体" w:hAnsi="宋体" w:eastAsia="宋体" w:cs="宋体"/>
                <w:spacing w:val="0"/>
                <w:sz w:val="24"/>
                <w:szCs w:val="24"/>
                <w:highlight w:val="none"/>
                <w:u w:val="single"/>
                <w:lang w:val="en-US" w:eastAsia="zh-CN"/>
              </w:rPr>
              <w:t xml:space="preserve">                                              </w:t>
            </w:r>
          </w:p>
          <w:p w14:paraId="7E7C9D10">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hAnsi="宋体" w:cs="宋体"/>
                <w:spacing w:val="0"/>
                <w:sz w:val="24"/>
                <w:szCs w:val="24"/>
                <w:highlight w:val="none"/>
                <w:lang w:val="en-US" w:eastAsia="zh-CN"/>
              </w:rPr>
            </w:pPr>
          </w:p>
          <w:p w14:paraId="1C63F73D">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hAnsi="宋体" w:cs="宋体"/>
                <w:spacing w:val="0"/>
                <w:sz w:val="24"/>
                <w:szCs w:val="24"/>
                <w:highlight w:val="none"/>
                <w:lang w:val="en-US" w:eastAsia="zh-CN"/>
              </w:rPr>
              <w:t>成员</w:t>
            </w:r>
            <w:r>
              <w:rPr>
                <w:rFonts w:hint="eastAsia" w:ascii="宋体" w:hAnsi="宋体" w:eastAsia="宋体" w:cs="宋体"/>
                <w:spacing w:val="0"/>
                <w:sz w:val="24"/>
                <w:szCs w:val="24"/>
                <w:highlight w:val="none"/>
                <w:lang w:val="en-US" w:eastAsia="zh-CN"/>
              </w:rPr>
              <w:t>单位名称</w:t>
            </w:r>
            <w:r>
              <w:rPr>
                <w:rFonts w:hint="eastAsia" w:ascii="宋体" w:hAnsi="宋体" w:eastAsia="宋体" w:cs="宋体"/>
                <w:spacing w:val="0"/>
                <w:sz w:val="24"/>
                <w:szCs w:val="24"/>
                <w:highlight w:val="none"/>
                <w:u w:val="single"/>
                <w:lang w:val="en-US" w:eastAsia="zh-CN"/>
              </w:rPr>
              <w:t>：                                （盖单位章）</w:t>
            </w:r>
          </w:p>
          <w:p w14:paraId="69C4F11F">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法定代表人：</w:t>
            </w:r>
            <w:r>
              <w:rPr>
                <w:rFonts w:hint="eastAsia" w:ascii="宋体" w:hAnsi="宋体" w:eastAsia="宋体" w:cs="宋体"/>
                <w:spacing w:val="0"/>
                <w:sz w:val="24"/>
                <w:szCs w:val="24"/>
                <w:highlight w:val="none"/>
                <w:u w:val="single"/>
                <w:lang w:val="en-US" w:eastAsia="zh-CN"/>
              </w:rPr>
              <w:t xml:space="preserve">                                      （签字）</w:t>
            </w:r>
          </w:p>
          <w:p w14:paraId="65087374">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default"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none"/>
                <w:lang w:val="en-US" w:eastAsia="zh-CN"/>
              </w:rPr>
              <w:t>具备的资质：</w:t>
            </w:r>
            <w:r>
              <w:rPr>
                <w:rFonts w:hint="eastAsia" w:ascii="宋体" w:hAnsi="宋体" w:eastAsia="宋体" w:cs="宋体"/>
                <w:spacing w:val="0"/>
                <w:sz w:val="24"/>
                <w:szCs w:val="24"/>
                <w:highlight w:val="none"/>
                <w:u w:val="single"/>
                <w:lang w:val="en-US" w:eastAsia="zh-CN"/>
              </w:rPr>
              <w:t xml:space="preserve">                                              </w:t>
            </w:r>
          </w:p>
          <w:p w14:paraId="615FACFC">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none"/>
                <w:lang w:val="en-US" w:eastAsia="zh-CN"/>
              </w:rPr>
              <w:t>承担的段落：</w:t>
            </w:r>
            <w:r>
              <w:rPr>
                <w:rFonts w:hint="eastAsia" w:ascii="宋体" w:hAnsi="宋体" w:eastAsia="宋体" w:cs="宋体"/>
                <w:spacing w:val="0"/>
                <w:sz w:val="24"/>
                <w:szCs w:val="24"/>
                <w:highlight w:val="none"/>
                <w:u w:val="single"/>
                <w:lang w:val="en-US" w:eastAsia="zh-CN"/>
              </w:rPr>
              <w:t xml:space="preserve">                                              </w:t>
            </w:r>
          </w:p>
          <w:p w14:paraId="0C63396B">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360" w:firstLineChars="200"/>
              <w:textAlignment w:val="baseline"/>
              <w:rPr>
                <w:rFonts w:hint="eastAsia" w:ascii="宋体" w:hAnsi="宋体" w:eastAsia="宋体" w:cs="宋体"/>
                <w:spacing w:val="0"/>
                <w:sz w:val="13"/>
                <w:szCs w:val="13"/>
                <w:highlight w:val="none"/>
                <w:lang w:val="en-US" w:eastAsia="zh-CN"/>
              </w:rPr>
            </w:pPr>
            <w:r>
              <w:rPr>
                <w:rFonts w:hint="eastAsia" w:ascii="宋体" w:hAnsi="宋体" w:eastAsia="宋体" w:cs="宋体"/>
                <w:spacing w:val="0"/>
                <w:sz w:val="18"/>
                <w:szCs w:val="18"/>
                <w:highlight w:val="none"/>
                <w:lang w:val="en-US" w:eastAsia="zh-CN"/>
              </w:rPr>
              <w:t>注：本高速公路韧性提升工程的不同设计段落划分如下：涝峪至筒车湾（K1133+730～K1217+653）、筒车湾至洋县（K1217+653～K1275+497）、洋县至勉县段（ K1275+497 ～K1387+188）、勉县至宁强段（K1387+188 ～K1442+046）、宁强至棋盘关（K1442+046 ～K1459+232）。</w:t>
            </w:r>
            <w:r>
              <w:rPr>
                <w:rFonts w:hint="eastAsia" w:ascii="宋体" w:hAnsi="宋体" w:eastAsia="宋体" w:cs="宋体"/>
                <w:spacing w:val="0"/>
                <w:sz w:val="13"/>
                <w:szCs w:val="13"/>
                <w:highlight w:val="none"/>
                <w:lang w:val="en-US" w:eastAsia="zh-CN"/>
              </w:rPr>
              <w:tab/>
            </w:r>
          </w:p>
          <w:p w14:paraId="51735439">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spacing w:val="0"/>
                <w:highlight w:val="none"/>
              </w:rPr>
            </w:pPr>
            <w:r>
              <w:rPr>
                <w:rFonts w:hint="eastAsia" w:ascii="宋体" w:hAnsi="宋体" w:eastAsia="宋体" w:cs="宋体"/>
                <w:spacing w:val="0"/>
                <w:sz w:val="24"/>
                <w:szCs w:val="24"/>
                <w:highlight w:val="none"/>
                <w:lang w:val="en-US" w:eastAsia="zh-CN"/>
              </w:rPr>
              <w:t xml:space="preserve"> 年     月      日</w:t>
            </w:r>
          </w:p>
        </w:tc>
      </w:tr>
    </w:tbl>
    <w:p w14:paraId="4CB38F95"/>
    <w:sectPr>
      <w:footerReference r:id="rId5" w:type="default"/>
      <w:pgSz w:w="11906" w:h="16838"/>
      <w:pgMar w:top="1440" w:right="1406" w:bottom="1440" w:left="140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BB52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83AF1">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E83AF1">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657E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7E659">
                          <w:pPr>
                            <w:pStyle w:val="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07E659">
                    <w:pPr>
                      <w:pStyle w:val="6"/>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7E9C">
    <w:pPr>
      <w:pStyle w:val="7"/>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13BFA"/>
    <w:multiLevelType w:val="singleLevel"/>
    <w:tmpl w:val="02413BFA"/>
    <w:lvl w:ilvl="0" w:tentative="0">
      <w:start w:val="1"/>
      <w:numFmt w:val="decimal"/>
      <w:suff w:val="nothing"/>
      <w:lvlText w:val="（%1）"/>
      <w:lvlJc w:val="left"/>
    </w:lvl>
  </w:abstractNum>
  <w:abstractNum w:abstractNumId="1">
    <w:nsid w:val="3EF58441"/>
    <w:multiLevelType w:val="singleLevel"/>
    <w:tmpl w:val="3EF5844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MWNlYWMzNzUyZjJjYzY1YzljYzdmNTM0Y2IxMzcifQ=="/>
  </w:docVars>
  <w:rsids>
    <w:rsidRoot w:val="00000000"/>
    <w:rsid w:val="00816EB0"/>
    <w:rsid w:val="00983348"/>
    <w:rsid w:val="01DC1F93"/>
    <w:rsid w:val="0424361E"/>
    <w:rsid w:val="0594137F"/>
    <w:rsid w:val="0BDE2C52"/>
    <w:rsid w:val="10172B14"/>
    <w:rsid w:val="10BF67B1"/>
    <w:rsid w:val="11976F5D"/>
    <w:rsid w:val="11CE134A"/>
    <w:rsid w:val="1F3D58D3"/>
    <w:rsid w:val="21323727"/>
    <w:rsid w:val="28300CC1"/>
    <w:rsid w:val="33F92481"/>
    <w:rsid w:val="38BB2C7F"/>
    <w:rsid w:val="39835EF8"/>
    <w:rsid w:val="4CFE651C"/>
    <w:rsid w:val="4FD5108C"/>
    <w:rsid w:val="4FE13ED5"/>
    <w:rsid w:val="51FC7AE5"/>
    <w:rsid w:val="51FF27E5"/>
    <w:rsid w:val="5B39136A"/>
    <w:rsid w:val="5B437C86"/>
    <w:rsid w:val="620D6DAC"/>
    <w:rsid w:val="653458EF"/>
    <w:rsid w:val="66760D56"/>
    <w:rsid w:val="668059AA"/>
    <w:rsid w:val="683472E6"/>
    <w:rsid w:val="6D567859"/>
    <w:rsid w:val="6FA2123A"/>
    <w:rsid w:val="73BD02D6"/>
    <w:rsid w:val="762F05C5"/>
    <w:rsid w:val="7A142AF0"/>
    <w:rsid w:val="7D04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1"/>
    <w:pPr>
      <w:spacing w:before="54"/>
      <w:ind w:right="59"/>
      <w:jc w:val="center"/>
      <w:outlineLvl w:val="3"/>
    </w:pPr>
    <w:rPr>
      <w:b/>
      <w:bCs/>
      <w:sz w:val="32"/>
      <w:szCs w:val="32"/>
    </w:rPr>
  </w:style>
  <w:style w:type="character" w:default="1" w:styleId="11">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Arial" w:hAnsi="Arial" w:eastAsia="黑体"/>
      <w:sz w:val="20"/>
    </w:rPr>
  </w:style>
  <w:style w:type="paragraph" w:styleId="4">
    <w:name w:val="toa heading"/>
    <w:basedOn w:val="1"/>
    <w:next w:val="1"/>
    <w:qFormat/>
    <w:uiPriority w:val="0"/>
    <w:rPr>
      <w:rFonts w:ascii="Arial" w:hAnsi="Arial"/>
      <w:sz w:val="24"/>
    </w:r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文本5"/>
    <w:basedOn w:val="1"/>
    <w:autoRedefine/>
    <w:qFormat/>
    <w:uiPriority w:val="0"/>
    <w:pPr>
      <w:shd w:val="clear" w:color="auto" w:fill="FFFFFF"/>
      <w:spacing w:before="120" w:after="240" w:line="0" w:lineRule="atLeast"/>
      <w:jc w:val="center"/>
    </w:pPr>
    <w:rPr>
      <w:rFonts w:ascii="黑体" w:hAnsi="黑体" w:eastAsia="黑体" w:cs="黑体"/>
    </w:rPr>
  </w:style>
  <w:style w:type="paragraph" w:customStyle="1" w:styleId="13">
    <w:name w:val="正文文本11"/>
    <w:basedOn w:val="1"/>
    <w:link w:val="15"/>
    <w:autoRedefine/>
    <w:qFormat/>
    <w:uiPriority w:val="0"/>
    <w:pPr>
      <w:shd w:val="clear" w:color="auto" w:fill="FFFFFF"/>
      <w:spacing w:before="120" w:after="300" w:line="0" w:lineRule="atLeast"/>
      <w:jc w:val="center"/>
    </w:pPr>
    <w:rPr>
      <w:rFonts w:ascii="宋体" w:hAnsi="宋体" w:eastAsia="宋体" w:cs="宋体"/>
      <w:sz w:val="23"/>
      <w:szCs w:val="23"/>
    </w:rPr>
  </w:style>
  <w:style w:type="character" w:customStyle="1" w:styleId="14">
    <w:name w:val="正文文本 + 12.5 pt"/>
    <w:basedOn w:val="15"/>
    <w:autoRedefine/>
    <w:qFormat/>
    <w:uiPriority w:val="0"/>
    <w:rPr>
      <w:rFonts w:ascii="宋体" w:hAnsi="宋体" w:eastAsia="宋体" w:cs="宋体"/>
      <w:i/>
      <w:iCs/>
      <w:color w:val="000000"/>
      <w:spacing w:val="-20"/>
      <w:w w:val="100"/>
      <w:position w:val="0"/>
      <w:sz w:val="25"/>
      <w:szCs w:val="25"/>
      <w:shd w:val="clear" w:color="auto" w:fill="FFFFFF"/>
    </w:rPr>
  </w:style>
  <w:style w:type="character" w:customStyle="1" w:styleId="15">
    <w:name w:val="正文文本_"/>
    <w:basedOn w:val="11"/>
    <w:link w:val="13"/>
    <w:autoRedefine/>
    <w:qFormat/>
    <w:uiPriority w:val="0"/>
    <w:rPr>
      <w:rFonts w:ascii="宋体" w:hAnsi="宋体" w:eastAsia="宋体" w:cs="宋体"/>
      <w:sz w:val="23"/>
      <w:szCs w:val="23"/>
    </w:rPr>
  </w:style>
  <w:style w:type="character" w:customStyle="1" w:styleId="16">
    <w:name w:val="正文文本 + MS Gothic"/>
    <w:basedOn w:val="15"/>
    <w:autoRedefine/>
    <w:qFormat/>
    <w:uiPriority w:val="0"/>
    <w:rPr>
      <w:rFonts w:ascii="MS Gothic" w:hAnsi="MS Gothic" w:eastAsia="MS Gothic" w:cs="MS Gothic"/>
      <w:color w:val="000000"/>
      <w:spacing w:val="0"/>
      <w:w w:val="100"/>
      <w:position w:val="0"/>
      <w:sz w:val="15"/>
      <w:szCs w:val="15"/>
      <w:shd w:val="clear" w:color="auto" w:fill="FFFFFF"/>
      <w:lang w:val="en-US"/>
    </w:rPr>
  </w:style>
  <w:style w:type="paragraph" w:customStyle="1" w:styleId="17">
    <w:name w:val="Table Paragraph"/>
    <w:basedOn w:val="1"/>
    <w:autoRedefine/>
    <w:qFormat/>
    <w:uiPriority w:val="1"/>
  </w:style>
  <w:style w:type="paragraph" w:customStyle="1" w:styleId="18">
    <w:name w:val="列出段落2"/>
    <w:basedOn w:val="1"/>
    <w:qFormat/>
    <w:uiPriority w:val="0"/>
    <w:pPr>
      <w:spacing w:line="440" w:lineRule="exact"/>
      <w:ind w:firstLine="520" w:firstLineChars="200"/>
    </w:pPr>
    <w:rPr>
      <w:rFonts w:hAnsi="Calibri"/>
      <w:sz w:val="26"/>
      <w:szCs w:val="26"/>
    </w:rPr>
  </w:style>
  <w:style w:type="paragraph" w:customStyle="1" w:styleId="19">
    <w:name w:val="Table Text"/>
    <w:basedOn w:val="1"/>
    <w:autoRedefine/>
    <w:semiHidden/>
    <w:qFormat/>
    <w:uiPriority w:val="0"/>
    <w:rPr>
      <w:rFonts w:ascii="宋体" w:hAnsi="宋体" w:eastAsia="宋体" w:cs="宋体"/>
      <w:sz w:val="24"/>
      <w:szCs w:val="24"/>
      <w:lang w:val="en-US" w:eastAsia="en-US" w:bidi="ar-SA"/>
    </w:rPr>
  </w:style>
  <w:style w:type="table" w:customStyle="1" w:styleId="20">
    <w:name w:val="Table Normal"/>
    <w:autoRedefine/>
    <w:semiHidden/>
    <w:unhideWhenUsed/>
    <w:qFormat/>
    <w:uiPriority w:val="0"/>
    <w:tblPr>
      <w:tblCellMar>
        <w:top w:w="0" w:type="dxa"/>
        <w:left w:w="0" w:type="dxa"/>
        <w:bottom w:w="0" w:type="dxa"/>
        <w:right w:w="0" w:type="dxa"/>
      </w:tblCellMar>
    </w:tbl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6883</Words>
  <Characters>7483</Characters>
  <Lines>0</Lines>
  <Paragraphs>0</Paragraphs>
  <TotalTime>0</TotalTime>
  <ScaleCrop>false</ScaleCrop>
  <LinksUpToDate>false</LinksUpToDate>
  <CharactersWithSpaces>7687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2024-04-09T08:02:00Z</dcterms:created>
  <dc:creator>0</dc:creator>
  <cp:lastModifiedBy>交通咨询</cp:lastModifiedBy>
  <dcterms:modified xsi:type="dcterms:W3CDTF">2025-07-04T06:32:23Z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D8D126F9788343738A92199AC80264D7_13</vt:lpwstr>
  </property>
  <property fmtid="{D5CDD505-2E9C-101B-9397-08002B2CF9AE}" pid="4" name="KSOTemplateDocerSaveRecord">
    <vt:lpwstr>eyJoZGlkIjoiYTZmMWNlYWMzNzUyZjJjYzY1YzljYzdmNTM0Y2IxMzciLCJ1c2VySWQiOiI0MjIxNjk3NDAifQ==</vt:lpwstr>
  </property>
</Properties>
</file>